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FD78E8" w:rsidR="00705E5A" w:rsidP="00FD78E8" w:rsidRDefault="00705E5A">
      <w:pPr>
        <w:jc w:val="center"/>
        <w:rPr>
          <w:rFonts w:ascii="Times New Roman" w:hAnsi="Times New Roman" w:cs="Times New Roman"/>
        </w:rPr>
      </w:pPr>
      <w:bookmarkStart w:name="_GoBack" w:id="0"/>
      <w:bookmarkEnd w:id="0"/>
    </w:p>
    <w:p w:rsidRPr="00FD78E8" w:rsidR="0098410D" w:rsidP="00FD78E8" w:rsidRDefault="0098410D">
      <w:pPr>
        <w:jc w:val="center"/>
      </w:pPr>
    </w:p>
    <w:p w:rsidRPr="00FD78E8" w:rsidR="00220E3C" w:rsidP="00FD78E8" w:rsidRDefault="00220E3C">
      <w:pPr>
        <w:jc w:val="center"/>
      </w:pPr>
    </w:p>
    <w:p w:rsidRPr="00FD78E8" w:rsidR="0098410D" w:rsidP="00FD78E8" w:rsidRDefault="00705E5A">
      <w:pPr>
        <w:pStyle w:val="DecHCase"/>
      </w:pPr>
      <w:r w:rsidRPr="00FD78E8">
        <w:t>FOURTH SECTION</w:t>
      </w:r>
    </w:p>
    <w:p w:rsidRPr="00FD78E8" w:rsidR="00220E3C" w:rsidP="00FD78E8" w:rsidRDefault="00220E3C">
      <w:pPr>
        <w:pStyle w:val="JuPara"/>
      </w:pPr>
    </w:p>
    <w:p w:rsidRPr="00FD78E8" w:rsidR="008E6217" w:rsidP="00FD78E8" w:rsidRDefault="008E6217">
      <w:pPr>
        <w:pStyle w:val="JuTitle"/>
      </w:pPr>
      <w:bookmarkStart w:name="To" w:id="1"/>
      <w:r w:rsidRPr="00FD78E8">
        <w:t xml:space="preserve">CASE OF </w:t>
      </w:r>
      <w:bookmarkEnd w:id="1"/>
      <w:r w:rsidRPr="00FD78E8" w:rsidR="00705E5A">
        <w:t>SOLCAN v. ROMANIA</w:t>
      </w:r>
    </w:p>
    <w:p w:rsidRPr="00FD78E8" w:rsidR="00D74888" w:rsidP="00FD78E8" w:rsidRDefault="008E6217">
      <w:pPr>
        <w:pStyle w:val="Title4"/>
      </w:pPr>
      <w:r w:rsidRPr="00FD78E8">
        <w:t>(</w:t>
      </w:r>
      <w:r w:rsidRPr="00FD78E8" w:rsidR="00705E5A">
        <w:t>Application no.</w:t>
      </w:r>
      <w:r w:rsidRPr="00FD78E8">
        <w:t xml:space="preserve"> </w:t>
      </w:r>
      <w:r w:rsidRPr="00FD78E8" w:rsidR="00705E5A">
        <w:t>32074/14</w:t>
      </w:r>
      <w:r w:rsidRPr="00FD78E8">
        <w:t>)</w:t>
      </w:r>
    </w:p>
    <w:p w:rsidRPr="00FD78E8" w:rsidR="0098410D" w:rsidP="00FD78E8" w:rsidRDefault="0098410D">
      <w:pPr>
        <w:pStyle w:val="DecHCase"/>
      </w:pPr>
    </w:p>
    <w:p w:rsidRPr="00FD78E8" w:rsidR="0098410D" w:rsidP="00FD78E8" w:rsidRDefault="0098410D">
      <w:pPr>
        <w:pStyle w:val="DecHCase"/>
      </w:pPr>
    </w:p>
    <w:p w:rsidRPr="00FD78E8" w:rsidR="00AC4CD4" w:rsidP="00FD78E8" w:rsidRDefault="00AC4CD4">
      <w:pPr>
        <w:pStyle w:val="DecHCase"/>
      </w:pPr>
    </w:p>
    <w:p w:rsidRPr="00FD78E8" w:rsidR="00AC4CD4" w:rsidP="00FD78E8" w:rsidRDefault="00AC4CD4">
      <w:pPr>
        <w:pStyle w:val="DecHCase"/>
      </w:pPr>
    </w:p>
    <w:p w:rsidRPr="00FD78E8" w:rsidR="00AC4CD4" w:rsidP="00FD78E8" w:rsidRDefault="00AC4CD4">
      <w:pPr>
        <w:pStyle w:val="DecHCase"/>
      </w:pPr>
    </w:p>
    <w:p w:rsidRPr="00FD78E8" w:rsidR="0098410D" w:rsidP="00FD78E8" w:rsidRDefault="0098410D">
      <w:pPr>
        <w:pStyle w:val="DecHCase"/>
      </w:pPr>
    </w:p>
    <w:p w:rsidRPr="00FD78E8" w:rsidR="0098410D" w:rsidP="00FD78E8" w:rsidRDefault="0098410D">
      <w:pPr>
        <w:pStyle w:val="DecHCase"/>
      </w:pPr>
      <w:r w:rsidRPr="00FD78E8">
        <w:t>JUDGMENT</w:t>
      </w:r>
      <w:r w:rsidRPr="00FD78E8" w:rsidR="00AC4CD4">
        <w:br/>
      </w:r>
    </w:p>
    <w:p w:rsidRPr="00FD78E8" w:rsidR="0098410D" w:rsidP="00FD78E8" w:rsidRDefault="0098410D">
      <w:pPr>
        <w:pStyle w:val="DecHCase"/>
      </w:pPr>
      <w:r w:rsidRPr="00FD78E8">
        <w:t>STRASBOURG</w:t>
      </w:r>
    </w:p>
    <w:p w:rsidRPr="00FD78E8" w:rsidR="0098410D" w:rsidP="00FD78E8" w:rsidRDefault="00705E5A">
      <w:pPr>
        <w:pStyle w:val="DecHCase"/>
        <w:rPr>
          <w:szCs w:val="24"/>
        </w:rPr>
      </w:pPr>
      <w:r w:rsidRPr="00FD78E8">
        <w:rPr>
          <w:rFonts w:ascii="Times New Roman" w:hAnsi="Times New Roman" w:cs="Times New Roman"/>
        </w:rPr>
        <w:t>8 October 2019</w:t>
      </w:r>
    </w:p>
    <w:p w:rsidRPr="00FD78E8" w:rsidR="00AC4CD4" w:rsidP="00FD78E8" w:rsidRDefault="00AC4CD4">
      <w:pPr>
        <w:pStyle w:val="JuPara"/>
        <w:jc w:val="left"/>
      </w:pPr>
    </w:p>
    <w:p w:rsidRPr="00FD78E8" w:rsidR="00220E3C" w:rsidP="00FD78E8" w:rsidRDefault="00220E3C">
      <w:pPr>
        <w:pStyle w:val="JuPara"/>
        <w:jc w:val="left"/>
      </w:pPr>
    </w:p>
    <w:p w:rsidRPr="00FD78E8" w:rsidR="002422B6" w:rsidP="00FD78E8" w:rsidRDefault="0098410D">
      <w:pPr>
        <w:rPr>
          <w:i/>
          <w:sz w:val="22"/>
        </w:rPr>
      </w:pPr>
      <w:r w:rsidRPr="00FD78E8">
        <w:rPr>
          <w:i/>
          <w:sz w:val="22"/>
        </w:rPr>
        <w:t xml:space="preserve">This judgment </w:t>
      </w:r>
      <w:r w:rsidRPr="00FD78E8" w:rsidR="00705E5A">
        <w:rPr>
          <w:i/>
          <w:sz w:val="22"/>
        </w:rPr>
        <w:t>will become final in the circumstances set out in Article 44 § 2 of the Convention. It</w:t>
      </w:r>
      <w:r w:rsidRPr="00FD78E8">
        <w:rPr>
          <w:i/>
          <w:sz w:val="22"/>
        </w:rPr>
        <w:t xml:space="preserve"> may be subject to editorial revision.</w:t>
      </w:r>
    </w:p>
    <w:p w:rsidRPr="00FD78E8" w:rsidR="0098410D" w:rsidP="00FD78E8" w:rsidRDefault="0098410D"/>
    <w:p w:rsidRPr="00FD78E8" w:rsidR="00220E3C" w:rsidP="00FD78E8" w:rsidRDefault="00220E3C">
      <w:pPr>
        <w:sectPr w:rsidRPr="00FD78E8" w:rsidR="00220E3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noEndnote/>
        </w:sectPr>
      </w:pPr>
    </w:p>
    <w:p w:rsidRPr="00FD78E8" w:rsidR="0098410D" w:rsidP="00FD78E8" w:rsidRDefault="0098410D">
      <w:pPr>
        <w:pStyle w:val="JuCase"/>
      </w:pPr>
      <w:r w:rsidRPr="00FD78E8">
        <w:t xml:space="preserve">In the case of </w:t>
      </w:r>
      <w:proofErr w:type="spellStart"/>
      <w:r w:rsidRPr="00FD78E8" w:rsidR="00705E5A">
        <w:t>Solcan</w:t>
      </w:r>
      <w:proofErr w:type="spellEnd"/>
      <w:r w:rsidRPr="00FD78E8" w:rsidR="00705E5A">
        <w:t xml:space="preserve"> v. Romania</w:t>
      </w:r>
      <w:r w:rsidRPr="00FD78E8">
        <w:t>,</w:t>
      </w:r>
    </w:p>
    <w:p w:rsidRPr="00FD78E8" w:rsidR="009F4C8F" w:rsidP="00FD78E8" w:rsidRDefault="009F4C8F">
      <w:pPr>
        <w:pStyle w:val="JuPara"/>
      </w:pPr>
      <w:r w:rsidRPr="00FD78E8">
        <w:t>The European Court of Human Rights (</w:t>
      </w:r>
      <w:r w:rsidRPr="00FD78E8" w:rsidR="00705E5A">
        <w:t>Fourth Section</w:t>
      </w:r>
      <w:r w:rsidRPr="00FD78E8">
        <w:t xml:space="preserve">), sitting as a </w:t>
      </w:r>
      <w:r w:rsidRPr="00FD78E8" w:rsidR="00705E5A">
        <w:t>Chamber</w:t>
      </w:r>
      <w:r w:rsidRPr="00FD78E8">
        <w:t xml:space="preserve"> composed of:</w:t>
      </w:r>
    </w:p>
    <w:p w:rsidRPr="00FD78E8" w:rsidR="009F4C8F" w:rsidP="00FD78E8" w:rsidRDefault="007C1107">
      <w:pPr>
        <w:pStyle w:val="JuJudges"/>
      </w:pPr>
      <w:r w:rsidRPr="00FD78E8">
        <w:tab/>
        <w:t xml:space="preserve">Jon </w:t>
      </w:r>
      <w:proofErr w:type="spellStart"/>
      <w:r w:rsidRPr="00FD78E8">
        <w:t>Fridrik</w:t>
      </w:r>
      <w:proofErr w:type="spellEnd"/>
      <w:r w:rsidRPr="00FD78E8">
        <w:t xml:space="preserve"> </w:t>
      </w:r>
      <w:proofErr w:type="spellStart"/>
      <w:r w:rsidRPr="00FD78E8">
        <w:t>Kjølbro</w:t>
      </w:r>
      <w:proofErr w:type="spellEnd"/>
      <w:r w:rsidRPr="00FD78E8">
        <w:t>,</w:t>
      </w:r>
      <w:r w:rsidRPr="00FD78E8">
        <w:rPr>
          <w:i/>
        </w:rPr>
        <w:t xml:space="preserve"> President,</w:t>
      </w:r>
      <w:r w:rsidRPr="00FD78E8">
        <w:rPr>
          <w:i/>
        </w:rPr>
        <w:br/>
      </w:r>
      <w:r w:rsidRPr="00FD78E8">
        <w:tab/>
      </w:r>
      <w:proofErr w:type="spellStart"/>
      <w:r w:rsidRPr="00FD78E8">
        <w:t>Faris</w:t>
      </w:r>
      <w:proofErr w:type="spellEnd"/>
      <w:r w:rsidRPr="00FD78E8">
        <w:t xml:space="preserve"> </w:t>
      </w:r>
      <w:proofErr w:type="spellStart"/>
      <w:r w:rsidRPr="00FD78E8">
        <w:t>Vehabović</w:t>
      </w:r>
      <w:proofErr w:type="spellEnd"/>
      <w:r w:rsidRPr="00FD78E8">
        <w:t>,</w:t>
      </w:r>
      <w:r w:rsidRPr="00FD78E8">
        <w:rPr>
          <w:i/>
        </w:rPr>
        <w:br/>
      </w:r>
      <w:r w:rsidRPr="00FD78E8">
        <w:tab/>
        <w:t xml:space="preserve">Iulia </w:t>
      </w:r>
      <w:proofErr w:type="spellStart"/>
      <w:r w:rsidRPr="00FD78E8">
        <w:t>Antoanella</w:t>
      </w:r>
      <w:proofErr w:type="spellEnd"/>
      <w:r w:rsidRPr="00FD78E8">
        <w:t xml:space="preserve"> </w:t>
      </w:r>
      <w:proofErr w:type="spellStart"/>
      <w:r w:rsidRPr="00FD78E8">
        <w:t>Motoc</w:t>
      </w:r>
      <w:proofErr w:type="spellEnd"/>
      <w:r w:rsidRPr="00FD78E8">
        <w:t>,</w:t>
      </w:r>
      <w:r w:rsidRPr="00FD78E8">
        <w:rPr>
          <w:i/>
        </w:rPr>
        <w:br/>
      </w:r>
      <w:r w:rsidRPr="00FD78E8">
        <w:tab/>
        <w:t xml:space="preserve">Stéphanie </w:t>
      </w:r>
      <w:proofErr w:type="spellStart"/>
      <w:r w:rsidRPr="00FD78E8">
        <w:t>Mourou-Vikström</w:t>
      </w:r>
      <w:proofErr w:type="spellEnd"/>
      <w:r w:rsidRPr="00FD78E8">
        <w:t>,</w:t>
      </w:r>
      <w:r w:rsidRPr="00FD78E8">
        <w:rPr>
          <w:i/>
        </w:rPr>
        <w:br/>
      </w:r>
      <w:r w:rsidRPr="00FD78E8">
        <w:tab/>
        <w:t xml:space="preserve">Georges </w:t>
      </w:r>
      <w:proofErr w:type="spellStart"/>
      <w:r w:rsidRPr="00FD78E8">
        <w:t>Ravarani</w:t>
      </w:r>
      <w:proofErr w:type="spellEnd"/>
      <w:r w:rsidRPr="00FD78E8">
        <w:t>,</w:t>
      </w:r>
      <w:r w:rsidRPr="00FD78E8">
        <w:rPr>
          <w:i/>
        </w:rPr>
        <w:br/>
      </w:r>
      <w:r w:rsidRPr="00FD78E8">
        <w:tab/>
      </w:r>
      <w:proofErr w:type="spellStart"/>
      <w:r w:rsidRPr="00FD78E8">
        <w:t>Jolien</w:t>
      </w:r>
      <w:proofErr w:type="spellEnd"/>
      <w:r w:rsidRPr="00FD78E8">
        <w:t xml:space="preserve"> </w:t>
      </w:r>
      <w:proofErr w:type="spellStart"/>
      <w:r w:rsidRPr="00FD78E8">
        <w:t>Schukking</w:t>
      </w:r>
      <w:proofErr w:type="spellEnd"/>
      <w:r w:rsidRPr="00FD78E8">
        <w:t>,</w:t>
      </w:r>
      <w:r w:rsidRPr="00FD78E8">
        <w:rPr>
          <w:i/>
        </w:rPr>
        <w:br/>
      </w:r>
      <w:r w:rsidRPr="00FD78E8">
        <w:tab/>
      </w:r>
      <w:proofErr w:type="spellStart"/>
      <w:r w:rsidRPr="00FD78E8">
        <w:t>Péter</w:t>
      </w:r>
      <w:proofErr w:type="spellEnd"/>
      <w:r w:rsidRPr="00FD78E8">
        <w:t xml:space="preserve"> </w:t>
      </w:r>
      <w:proofErr w:type="spellStart"/>
      <w:r w:rsidRPr="00FD78E8">
        <w:t>Paczolay</w:t>
      </w:r>
      <w:proofErr w:type="spellEnd"/>
      <w:r w:rsidRPr="00FD78E8">
        <w:t>,</w:t>
      </w:r>
      <w:r w:rsidRPr="00FD78E8">
        <w:rPr>
          <w:i/>
        </w:rPr>
        <w:t xml:space="preserve"> judges,</w:t>
      </w:r>
      <w:r w:rsidRPr="00FD78E8">
        <w:rPr>
          <w:i/>
        </w:rPr>
        <w:br/>
      </w:r>
      <w:r w:rsidRPr="00FD78E8" w:rsidR="009F4C8F">
        <w:t xml:space="preserve">and </w:t>
      </w:r>
      <w:r w:rsidRPr="00FD78E8" w:rsidR="00DB7848">
        <w:t>Andrea Tamietti</w:t>
      </w:r>
      <w:r w:rsidRPr="00FD78E8" w:rsidR="009F4C8F">
        <w:t xml:space="preserve">, </w:t>
      </w:r>
      <w:r w:rsidRPr="00FD78E8" w:rsidR="00DB7848">
        <w:rPr>
          <w:i/>
        </w:rPr>
        <w:t>Deputy S</w:t>
      </w:r>
      <w:r w:rsidRPr="00FD78E8" w:rsidR="00705E5A">
        <w:rPr>
          <w:i/>
        </w:rPr>
        <w:t xml:space="preserve">ection </w:t>
      </w:r>
      <w:r w:rsidRPr="00FD78E8" w:rsidR="00705E5A">
        <w:rPr>
          <w:i/>
          <w:iCs/>
        </w:rPr>
        <w:t>Registrar</w:t>
      </w:r>
      <w:r w:rsidRPr="00FD78E8" w:rsidR="009F4C8F">
        <w:rPr>
          <w:i/>
        </w:rPr>
        <w:t>,</w:t>
      </w:r>
    </w:p>
    <w:p w:rsidRPr="00FD78E8" w:rsidR="009F4C8F" w:rsidP="00FD78E8" w:rsidRDefault="009F4C8F">
      <w:pPr>
        <w:pStyle w:val="JuPara"/>
      </w:pPr>
      <w:r w:rsidRPr="00FD78E8">
        <w:t xml:space="preserve">Having deliberated in private on </w:t>
      </w:r>
      <w:r w:rsidRPr="00FD78E8" w:rsidR="00705E5A">
        <w:rPr>
          <w:szCs w:val="24"/>
        </w:rPr>
        <w:t>10 September 2019</w:t>
      </w:r>
      <w:r w:rsidRPr="00FD78E8">
        <w:t>,</w:t>
      </w:r>
    </w:p>
    <w:p w:rsidRPr="00FD78E8" w:rsidR="009F4C8F" w:rsidP="00FD78E8" w:rsidRDefault="009F4C8F">
      <w:pPr>
        <w:pStyle w:val="JuPara"/>
      </w:pPr>
      <w:r w:rsidRPr="00FD78E8">
        <w:t>Delivers the following judgment, which was adopted on that date:</w:t>
      </w:r>
    </w:p>
    <w:p w:rsidRPr="00FD78E8" w:rsidR="00705E5A" w:rsidP="00FD78E8" w:rsidRDefault="00705E5A">
      <w:pPr>
        <w:pStyle w:val="JuHHead"/>
      </w:pPr>
      <w:r w:rsidRPr="00FD78E8">
        <w:t>PROCEDURE</w:t>
      </w:r>
    </w:p>
    <w:p w:rsidRPr="00FD78E8" w:rsidR="00705E5A" w:rsidP="00FD78E8" w:rsidRDefault="00705E5A">
      <w:pPr>
        <w:pStyle w:val="JuPara"/>
      </w:pPr>
      <w:r w:rsidRPr="00FD78E8">
        <w:t>1.  The case originated in an application (no. 32074/14) against Romania lodged with the Court under Article</w:t>
      </w:r>
      <w:r w:rsidRPr="00FD78E8" w:rsidR="00DB7848">
        <w:t xml:space="preserve"> </w:t>
      </w:r>
      <w:r w:rsidRPr="00FD78E8">
        <w:t xml:space="preserve">34 of the Convention for the Protection of Human Rights and Fundamental Freedoms (“the Convention”) by a Romanian national, Ms </w:t>
      </w:r>
      <w:proofErr w:type="spellStart"/>
      <w:r w:rsidRPr="00FD78E8">
        <w:t>Luminiţa</w:t>
      </w:r>
      <w:proofErr w:type="spellEnd"/>
      <w:r w:rsidRPr="00FD78E8">
        <w:t xml:space="preserve"> </w:t>
      </w:r>
      <w:proofErr w:type="spellStart"/>
      <w:r w:rsidRPr="00FD78E8">
        <w:t>Zamfira</w:t>
      </w:r>
      <w:proofErr w:type="spellEnd"/>
      <w:r w:rsidRPr="00FD78E8">
        <w:t xml:space="preserve"> </w:t>
      </w:r>
      <w:proofErr w:type="spellStart"/>
      <w:r w:rsidRPr="00FD78E8">
        <w:t>Solcan</w:t>
      </w:r>
      <w:proofErr w:type="spellEnd"/>
      <w:r w:rsidRPr="00FD78E8">
        <w:t xml:space="preserve"> (“the applicant”), on 17 April 2014.</w:t>
      </w:r>
    </w:p>
    <w:p w:rsidRPr="00FD78E8" w:rsidR="00705E5A" w:rsidP="00FD78E8" w:rsidRDefault="00705E5A">
      <w:pPr>
        <w:pStyle w:val="JuPara"/>
      </w:pPr>
      <w:r w:rsidRPr="00FD78E8">
        <w:t xml:space="preserve">2.  The applicant was represented by Ms A. </w:t>
      </w:r>
      <w:proofErr w:type="spellStart"/>
      <w:r w:rsidRPr="00FD78E8">
        <w:t>Diaconescu</w:t>
      </w:r>
      <w:proofErr w:type="spellEnd"/>
      <w:r w:rsidRPr="00FD78E8">
        <w:t xml:space="preserve">, a lawyer practising in </w:t>
      </w:r>
      <w:proofErr w:type="spellStart"/>
      <w:r w:rsidRPr="00FD78E8">
        <w:t>Iași</w:t>
      </w:r>
      <w:proofErr w:type="spellEnd"/>
      <w:r w:rsidRPr="00FD78E8">
        <w:t xml:space="preserve">. The Romanian Government (“the Government”) were represented by their Agent, most recently Mr. V. </w:t>
      </w:r>
      <w:proofErr w:type="spellStart"/>
      <w:r w:rsidRPr="00FD78E8">
        <w:t>Mocanu</w:t>
      </w:r>
      <w:proofErr w:type="spellEnd"/>
      <w:r w:rsidRPr="00FD78E8">
        <w:t>, of the Ministry of Foreign Affairs.</w:t>
      </w:r>
    </w:p>
    <w:p w:rsidRPr="00FD78E8" w:rsidR="00705E5A" w:rsidP="00FD78E8" w:rsidRDefault="00705E5A">
      <w:pPr>
        <w:pStyle w:val="JuPara"/>
      </w:pPr>
      <w:r w:rsidRPr="00FD78E8">
        <w:t>3.  The applicant alleged</w:t>
      </w:r>
      <w:r w:rsidRPr="00FD78E8">
        <w:rPr>
          <w:lang w:val="en-US"/>
        </w:rPr>
        <w:t>, in particular, a breach of Article 8 of the Convention as a result of the failure of the authorities</w:t>
      </w:r>
      <w:r w:rsidRPr="00FD78E8">
        <w:t xml:space="preserve"> </w:t>
      </w:r>
      <w:r w:rsidRPr="00FD78E8">
        <w:rPr>
          <w:lang w:val="en-US"/>
        </w:rPr>
        <w:t xml:space="preserve">to allow her to attend </w:t>
      </w:r>
      <w:r w:rsidRPr="00FD78E8">
        <w:t>her mother</w:t>
      </w:r>
      <w:r w:rsidRPr="00FD78E8" w:rsidR="00FD78E8">
        <w:t>’</w:t>
      </w:r>
      <w:r w:rsidRPr="00FD78E8">
        <w:t>s funeral during her involuntary hospitalisation in an inpatient</w:t>
      </w:r>
      <w:r w:rsidRPr="00FD78E8">
        <w:rPr>
          <w:lang w:val="en-US"/>
        </w:rPr>
        <w:t xml:space="preserve"> psychiatric facility.</w:t>
      </w:r>
    </w:p>
    <w:p w:rsidRPr="00FD78E8" w:rsidR="00705E5A" w:rsidP="00FD78E8" w:rsidRDefault="00705E5A">
      <w:pPr>
        <w:pStyle w:val="JuPara"/>
      </w:pPr>
      <w:r w:rsidRPr="00FD78E8">
        <w:t xml:space="preserve">4.  On </w:t>
      </w:r>
      <w:r w:rsidRPr="00FD78E8" w:rsidR="00DB7848">
        <w:rPr>
          <w:szCs w:val="24"/>
        </w:rPr>
        <w:t xml:space="preserve">1 </w:t>
      </w:r>
      <w:r w:rsidRPr="00FD78E8">
        <w:rPr>
          <w:szCs w:val="24"/>
        </w:rPr>
        <w:t>September 2015</w:t>
      </w:r>
      <w:r w:rsidRPr="00FD78E8">
        <w:t xml:space="preserve"> notice of the complaint under Article 8 of the Convention was given to the Government and the remainder of the application was declared inadmissible</w:t>
      </w:r>
      <w:r w:rsidRPr="00FD78E8">
        <w:rPr>
          <w:szCs w:val="24"/>
        </w:rPr>
        <w:t xml:space="preserve"> </w:t>
      </w:r>
      <w:r w:rsidRPr="00FD78E8">
        <w:t>pursuant to Rule</w:t>
      </w:r>
      <w:r w:rsidRPr="00FD78E8" w:rsidR="00DB7848">
        <w:t xml:space="preserve"> 54 </w:t>
      </w:r>
      <w:r w:rsidRPr="00FD78E8">
        <w:t>§</w:t>
      </w:r>
      <w:r w:rsidRPr="00FD78E8" w:rsidR="00DB7848">
        <w:t xml:space="preserve"> </w:t>
      </w:r>
      <w:r w:rsidRPr="00FD78E8">
        <w:t>3 of the Rules of Court.</w:t>
      </w:r>
    </w:p>
    <w:p w:rsidRPr="00FD78E8" w:rsidR="00705E5A" w:rsidP="00FD78E8" w:rsidRDefault="00705E5A">
      <w:pPr>
        <w:pStyle w:val="JuHHead"/>
      </w:pPr>
      <w:r w:rsidRPr="00FD78E8">
        <w:t>THE FACTS</w:t>
      </w:r>
    </w:p>
    <w:p w:rsidRPr="00FD78E8" w:rsidR="00705E5A" w:rsidP="00FD78E8" w:rsidRDefault="00705E5A">
      <w:pPr>
        <w:pStyle w:val="JuHIRoman"/>
      </w:pPr>
      <w:r w:rsidRPr="00FD78E8">
        <w:t>THE CIRCUMSTANCES OF THE CASE</w:t>
      </w:r>
    </w:p>
    <w:p w:rsidRPr="00FD78E8" w:rsidR="00705E5A" w:rsidP="00FD78E8" w:rsidRDefault="00705E5A">
      <w:pPr>
        <w:pStyle w:val="JuPara"/>
      </w:pPr>
      <w:r w:rsidRPr="00FD78E8">
        <w:t xml:space="preserve">5.  The applicant was born in 1969 and is currently in a psychiatric facility in </w:t>
      </w:r>
      <w:proofErr w:type="spellStart"/>
      <w:r w:rsidRPr="00FD78E8">
        <w:t>Pă</w:t>
      </w:r>
      <w:r w:rsidRPr="00FD78E8" w:rsidR="00DB7848">
        <w:t>dureni-</w:t>
      </w:r>
      <w:r w:rsidRPr="00FD78E8">
        <w:t>Grajduri</w:t>
      </w:r>
      <w:proofErr w:type="spellEnd"/>
      <w:r w:rsidRPr="00FD78E8">
        <w:t>.</w:t>
      </w:r>
    </w:p>
    <w:p w:rsidRPr="00FD78E8" w:rsidR="00705E5A" w:rsidP="00FD78E8" w:rsidRDefault="00705E5A">
      <w:pPr>
        <w:pStyle w:val="JuPara"/>
      </w:pPr>
      <w:bookmarkStart w:name="p5" w:id="2"/>
      <w:r w:rsidRPr="00FD78E8">
        <w:t>6</w:t>
      </w:r>
      <w:bookmarkEnd w:id="2"/>
      <w:r w:rsidRPr="00FD78E8">
        <w:t xml:space="preserve">.  In 2005 she committed a murder in France. On 12 November 2007 the </w:t>
      </w:r>
      <w:proofErr w:type="spellStart"/>
      <w:r w:rsidRPr="00FD78E8">
        <w:t>Mâcon</w:t>
      </w:r>
      <w:proofErr w:type="spellEnd"/>
      <w:r w:rsidRPr="00FD78E8">
        <w:t xml:space="preserve"> County Court discontinued the criminal investigation against her on the grounds that she had committed the offence in a state of diminished responsibility. The medical experts diagnosed her as suffering from paranoid schizophrenia and concluded that her acts had been the result of paranoid delusions. Endorsing the experts</w:t>
      </w:r>
      <w:r w:rsidRPr="00FD78E8" w:rsidR="00FD78E8">
        <w:t>’</w:t>
      </w:r>
      <w:r w:rsidRPr="00FD78E8">
        <w:t xml:space="preserve"> findings that she posed a danger to the public on account of her mental health, the court ordered her placement in a psychiatric facility in France for an indefinite period of time.</w:t>
      </w:r>
    </w:p>
    <w:p w:rsidRPr="00FD78E8" w:rsidR="00705E5A" w:rsidP="00FD78E8" w:rsidRDefault="00705E5A">
      <w:pPr>
        <w:pStyle w:val="JuPara"/>
      </w:pPr>
      <w:r w:rsidRPr="00FD78E8">
        <w:t xml:space="preserve">7.  In 2011 the applicant lodged a request to be transferred to a similar psychiatric facility in Romania in order to be closer to her mother, who lived in </w:t>
      </w:r>
      <w:proofErr w:type="spellStart"/>
      <w:r w:rsidRPr="00FD78E8">
        <w:t>Iaşi</w:t>
      </w:r>
      <w:proofErr w:type="spellEnd"/>
      <w:r w:rsidRPr="00FD78E8">
        <w:t>.</w:t>
      </w:r>
    </w:p>
    <w:p w:rsidRPr="00FD78E8" w:rsidR="00705E5A" w:rsidP="00FD78E8" w:rsidRDefault="00705E5A">
      <w:pPr>
        <w:pStyle w:val="JuPara"/>
      </w:pPr>
      <w:r w:rsidRPr="00FD78E8">
        <w:t>8.  By a decision of 30 March 2012 the Bucharest Court of Appeal authorised her transfer to a p</w:t>
      </w:r>
      <w:r w:rsidRPr="00FD78E8" w:rsidR="00DB7848">
        <w:t xml:space="preserve">sychiatric facility in </w:t>
      </w:r>
      <w:proofErr w:type="spellStart"/>
      <w:r w:rsidRPr="00FD78E8" w:rsidR="00DB7848">
        <w:t>Pădureni-</w:t>
      </w:r>
      <w:r w:rsidRPr="00FD78E8">
        <w:t>Grajduri</w:t>
      </w:r>
      <w:proofErr w:type="spellEnd"/>
      <w:r w:rsidRPr="00FD78E8">
        <w:t xml:space="preserve">, a village located about twenty kilometres from </w:t>
      </w:r>
      <w:proofErr w:type="spellStart"/>
      <w:r w:rsidRPr="00FD78E8">
        <w:t>Iaşi</w:t>
      </w:r>
      <w:proofErr w:type="spellEnd"/>
      <w:r w:rsidRPr="00FD78E8">
        <w:t>. At the time of the latest information available to the Court (9 November 2016), she was still detained there.</w:t>
      </w:r>
    </w:p>
    <w:p w:rsidRPr="00FD78E8" w:rsidR="00705E5A" w:rsidP="00FD78E8" w:rsidRDefault="00705E5A">
      <w:pPr>
        <w:pStyle w:val="JuPara"/>
      </w:pPr>
      <w:bookmarkStart w:name="p8" w:id="3"/>
      <w:r w:rsidRPr="00FD78E8">
        <w:t>9</w:t>
      </w:r>
      <w:bookmarkEnd w:id="3"/>
      <w:r w:rsidRPr="00FD78E8">
        <w:t>.  On 11 April 2013 the applicant</w:t>
      </w:r>
      <w:r w:rsidRPr="00FD78E8" w:rsidR="00FD78E8">
        <w:t>’</w:t>
      </w:r>
      <w:r w:rsidRPr="00FD78E8">
        <w:t xml:space="preserve">s mother died. On 12 April 2013 the applicant lodged a request with the </w:t>
      </w:r>
      <w:proofErr w:type="spellStart"/>
      <w:r w:rsidRPr="00FD78E8">
        <w:t>Iaşi</w:t>
      </w:r>
      <w:proofErr w:type="spellEnd"/>
      <w:r w:rsidRPr="00FD78E8">
        <w:t xml:space="preserve"> District Court for leave to attend her funeral.</w:t>
      </w:r>
    </w:p>
    <w:p w:rsidRPr="00FD78E8" w:rsidR="00705E5A" w:rsidP="00FD78E8" w:rsidRDefault="00705E5A">
      <w:pPr>
        <w:pStyle w:val="JuPara"/>
      </w:pPr>
      <w:bookmarkStart w:name="p9" w:id="4"/>
      <w:r w:rsidRPr="00FD78E8">
        <w:t>10</w:t>
      </w:r>
      <w:bookmarkEnd w:id="4"/>
      <w:r w:rsidRPr="00FD78E8">
        <w:t>.  On 23 May 2013 the court examined her request and refused to grant her leave. It pointed out that under Article 39 of the Mental Health Act (see paragraph</w:t>
      </w:r>
      <w:r w:rsidRPr="00FD78E8" w:rsidR="00DB7848">
        <w:t> </w:t>
      </w:r>
      <w:r w:rsidRPr="00FD78E8">
        <w:t>14 below) the restriction of liberty of mentally ill persons was justified for the protection of their health or safety or for the protection of others, and that under Article 49 of the same Act the facility was chosen so as to allow the mentally ill patient to be as close to home as possible. When applying the above provisions to the applicant</w:t>
      </w:r>
      <w:r w:rsidRPr="00FD78E8" w:rsidR="00FD78E8">
        <w:t>’</w:t>
      </w:r>
      <w:r w:rsidRPr="00FD78E8">
        <w:t>s situation, the court held as follows:</w:t>
      </w:r>
    </w:p>
    <w:p w:rsidRPr="00FD78E8" w:rsidR="00705E5A" w:rsidP="00FD78E8" w:rsidRDefault="00705E5A">
      <w:pPr>
        <w:pStyle w:val="JuQuot"/>
      </w:pPr>
      <w:r w:rsidRPr="00FD78E8">
        <w:t xml:space="preserve">“Bearing in mind these legal provisions, the court considers that the safety of others prevails, the patient </w:t>
      </w:r>
      <w:proofErr w:type="spellStart"/>
      <w:r w:rsidRPr="00FD78E8">
        <w:t>Solcan</w:t>
      </w:r>
      <w:proofErr w:type="spellEnd"/>
      <w:r w:rsidRPr="00FD78E8">
        <w:t xml:space="preserve"> </w:t>
      </w:r>
      <w:proofErr w:type="spellStart"/>
      <w:r w:rsidRPr="00FD78E8">
        <w:t>Lumini</w:t>
      </w:r>
      <w:r w:rsidRPr="00FD78E8">
        <w:rPr>
          <w:rFonts w:cstheme="minorHAnsi"/>
        </w:rPr>
        <w:t>ţ</w:t>
      </w:r>
      <w:r w:rsidRPr="00FD78E8">
        <w:t>a</w:t>
      </w:r>
      <w:proofErr w:type="spellEnd"/>
      <w:r w:rsidRPr="00FD78E8">
        <w:t xml:space="preserve"> having been diagnosed with a mental illness which could potentially present a danger to the lives of others and their feelings of peace and confidence; for this reason, the request made by the patient shall be dismissed ...”</w:t>
      </w:r>
    </w:p>
    <w:p w:rsidRPr="00FD78E8" w:rsidR="00705E5A" w:rsidP="00FD78E8" w:rsidRDefault="00705E5A">
      <w:pPr>
        <w:pStyle w:val="JuPara"/>
      </w:pPr>
      <w:r w:rsidRPr="00FD78E8">
        <w:t xml:space="preserve">11.  The applicant lodged an appeal on points of law against that decision. She claimed that the provisions of </w:t>
      </w:r>
      <w:r w:rsidRPr="00FD78E8" w:rsidR="008A3064">
        <w:t xml:space="preserve">Law no. </w:t>
      </w:r>
      <w:r w:rsidRPr="00FD78E8">
        <w:t>275/2006 on the execution of sentences, which authorised the temporary interruption of a custodial sentence for family reasons, should also apply to her detention in a psychiatric facility. The prosecutor</w:t>
      </w:r>
      <w:r w:rsidRPr="00FD78E8" w:rsidR="00FD78E8">
        <w:t>’</w:t>
      </w:r>
      <w:r w:rsidRPr="00FD78E8">
        <w:t>s office argued that a measure of detention in a medical facility could not be assimilated to a custodial sentence and accordingly there was no legal basis for the interruption of the applicant</w:t>
      </w:r>
      <w:r w:rsidRPr="00FD78E8" w:rsidR="00FD78E8">
        <w:t>’</w:t>
      </w:r>
      <w:r w:rsidRPr="00FD78E8">
        <w:t>s involuntary hospitalisation in a psychiatric facility.</w:t>
      </w:r>
    </w:p>
    <w:p w:rsidRPr="00FD78E8" w:rsidR="00705E5A" w:rsidP="00FD78E8" w:rsidRDefault="00705E5A">
      <w:pPr>
        <w:pStyle w:val="JuPara"/>
      </w:pPr>
      <w:bookmarkStart w:name="p11" w:id="5"/>
      <w:r w:rsidRPr="00FD78E8">
        <w:t>12</w:t>
      </w:r>
      <w:bookmarkEnd w:id="5"/>
      <w:r w:rsidRPr="00FD78E8">
        <w:t xml:space="preserve">.  By a final decision of 22 October 2013 the </w:t>
      </w:r>
      <w:proofErr w:type="spellStart"/>
      <w:r w:rsidRPr="00FD78E8">
        <w:t>Iaşi</w:t>
      </w:r>
      <w:proofErr w:type="spellEnd"/>
      <w:r w:rsidRPr="00FD78E8">
        <w:t xml:space="preserve"> County Court dismissed the applicant</w:t>
      </w:r>
      <w:r w:rsidRPr="00FD78E8" w:rsidR="00FD78E8">
        <w:t>’</w:t>
      </w:r>
      <w:r w:rsidRPr="00FD78E8">
        <w:t>s appeal. It held that under Article 114 of the Criminal Code read in conjunction with Article 434 of the Code of Criminal Procedure her detention in a psychiatric facility could be either discontinued or replaced by an obligation to undergo outpatient mental health treatment after an assessment by medical experts. It concluded that the applicant</w:t>
      </w:r>
      <w:r w:rsidRPr="00FD78E8" w:rsidR="00FD78E8">
        <w:t>’</w:t>
      </w:r>
      <w:r w:rsidRPr="00FD78E8">
        <w:t xml:space="preserve">s request to interrupt her detention in a psychiatric facility had no basis in law and that no analogy could be drawn between her situation and the situation of a prison detainee. Accordingly, the provisions </w:t>
      </w:r>
      <w:r w:rsidRPr="00FD78E8" w:rsidR="008A3064">
        <w:t>of Law no. </w:t>
      </w:r>
      <w:r w:rsidRPr="00FD78E8">
        <w:t>275/2006 authorising the temporary interruption of detention on family grounds were not applicable to her situation. Moreover, the court noted that in any event the applicant</w:t>
      </w:r>
      <w:r w:rsidRPr="00FD78E8" w:rsidR="00FD78E8">
        <w:t>’</w:t>
      </w:r>
      <w:r w:rsidRPr="00FD78E8">
        <w:t>s request was no longer valid as her mother</w:t>
      </w:r>
      <w:r w:rsidRPr="00FD78E8" w:rsidR="00FD78E8">
        <w:t>’</w:t>
      </w:r>
      <w:r w:rsidRPr="00FD78E8">
        <w:t>s funeral had already taken place.</w:t>
      </w:r>
    </w:p>
    <w:p w:rsidRPr="00FD78E8" w:rsidR="00705E5A" w:rsidP="00FD78E8" w:rsidRDefault="00705E5A">
      <w:pPr>
        <w:pStyle w:val="JuHIRoman"/>
      </w:pPr>
      <w:r w:rsidRPr="00FD78E8">
        <w:t>RELEVANT DOMESTIC LAW AND PRACTICE</w:t>
      </w:r>
    </w:p>
    <w:p w:rsidRPr="00FD78E8" w:rsidR="00705E5A" w:rsidP="00FD78E8" w:rsidRDefault="00705E5A">
      <w:pPr>
        <w:pStyle w:val="JuPara"/>
      </w:pPr>
      <w:r w:rsidRPr="00FD78E8">
        <w:t xml:space="preserve">13.  The relevant provisions of the Criminal Code and the Code of Criminal Procedure, as in force at the relevant time, are set out in </w:t>
      </w:r>
      <w:r w:rsidRPr="00FD78E8">
        <w:rPr>
          <w:i/>
          <w:iCs/>
        </w:rPr>
        <w:t>Filip v. Romania</w:t>
      </w:r>
      <w:r w:rsidRPr="00FD78E8">
        <w:t xml:space="preserve"> (no. 41124/02, §§ 30-31, 14</w:t>
      </w:r>
      <w:r w:rsidRPr="00FD78E8" w:rsidR="008A3064">
        <w:t xml:space="preserve"> </w:t>
      </w:r>
      <w:r w:rsidRPr="00FD78E8">
        <w:t>December 2006).</w:t>
      </w:r>
    </w:p>
    <w:p w:rsidRPr="00FD78E8" w:rsidR="00705E5A" w:rsidP="00FD78E8" w:rsidRDefault="00705E5A">
      <w:pPr>
        <w:pStyle w:val="JuPara"/>
      </w:pPr>
      <w:bookmarkStart w:name="Law_no478" w:id="6"/>
      <w:r w:rsidRPr="00FD78E8">
        <w:t>14</w:t>
      </w:r>
      <w:bookmarkEnd w:id="6"/>
      <w:r w:rsidRPr="00FD78E8">
        <w:t>.  Psychiatric detention is governed by the provisions of the Mental Health Act (Law no. 487 of 11 July 2002 on mental health and the protection of people with mental disorders) published in Official Gazette no. 589 of 8 August 2002. It was amended by Law no. 600/2004 and subsequently by Law no. 129/2012.</w:t>
      </w:r>
    </w:p>
    <w:p w:rsidRPr="00FD78E8" w:rsidR="00705E5A" w:rsidP="00FD78E8" w:rsidRDefault="00705E5A">
      <w:pPr>
        <w:pStyle w:val="JuPara"/>
      </w:pPr>
      <w:r w:rsidRPr="00FD78E8">
        <w:t>The Mental Health Act does not contain any provisions expressly authorising a judge to interrupt or suspend the involuntary hospitalisation of a mentally ill person.</w:t>
      </w:r>
    </w:p>
    <w:p w:rsidRPr="00FD78E8" w:rsidR="00705E5A" w:rsidP="00FD78E8" w:rsidRDefault="00705E5A">
      <w:pPr>
        <w:pStyle w:val="JuPara"/>
      </w:pPr>
      <w:bookmarkStart w:name="p14" w:id="7"/>
      <w:r w:rsidRPr="00FD78E8">
        <w:t>15</w:t>
      </w:r>
      <w:bookmarkEnd w:id="7"/>
      <w:r w:rsidRPr="00FD78E8">
        <w:t>.  The Government attached to their observations three decisions made by the Buzau District Court (on 30 January 2014, 6 February and 27</w:t>
      </w:r>
      <w:r w:rsidRPr="00FD78E8" w:rsidR="008A3064">
        <w:t> </w:t>
      </w:r>
      <w:r w:rsidRPr="00FD78E8">
        <w:t>March 2015 respectively) by which the applicants, who had all been admitted to a psychiatric facility for inpatient treatment, were allowed to attend the funerals of their family members. In all three case files there was medical evidence proving that they were able to attend. After assessing the particular circumstances of each applicant, the court granted them leave to attend their parents</w:t>
      </w:r>
      <w:r w:rsidRPr="00FD78E8" w:rsidR="00FD78E8">
        <w:t>’</w:t>
      </w:r>
      <w:r w:rsidRPr="00FD78E8">
        <w:t xml:space="preserve"> funerals. Their requests were examined by the court without undue delay so that they could attend. In one of the three cases the request was allowed on the condition that the applicant would be accompanied by medical staff and under police escort.</w:t>
      </w:r>
    </w:p>
    <w:p w:rsidRPr="00FD78E8" w:rsidR="00705E5A" w:rsidP="00FD78E8" w:rsidRDefault="00705E5A">
      <w:pPr>
        <w:pStyle w:val="JuHHead"/>
      </w:pPr>
      <w:r w:rsidRPr="00FD78E8">
        <w:t>THE LAW</w:t>
      </w:r>
    </w:p>
    <w:p w:rsidRPr="00FD78E8" w:rsidR="00705E5A" w:rsidP="00FD78E8" w:rsidRDefault="00705E5A">
      <w:pPr>
        <w:pStyle w:val="JuHIRoman"/>
      </w:pPr>
      <w:r w:rsidRPr="00FD78E8">
        <w:t>ALLEGED VIOLATION OF ARTICLE 8 OF THE CONVENTION</w:t>
      </w:r>
    </w:p>
    <w:p w:rsidRPr="00FD78E8" w:rsidR="00705E5A" w:rsidP="00FD78E8" w:rsidRDefault="00705E5A">
      <w:pPr>
        <w:pStyle w:val="JuPara"/>
      </w:pPr>
      <w:r w:rsidRPr="00FD78E8">
        <w:t>16.  The applicant complained that the refusal to allow her to attend her mother</w:t>
      </w:r>
      <w:r w:rsidRPr="00FD78E8" w:rsidR="00FD78E8">
        <w:t>’</w:t>
      </w:r>
      <w:r w:rsidRPr="00FD78E8">
        <w:t>s funeral had violated Article 8 of the Convention. The relevant parts of this provision read as follows:</w:t>
      </w:r>
    </w:p>
    <w:p w:rsidRPr="00FD78E8" w:rsidR="00705E5A" w:rsidP="00FD78E8" w:rsidRDefault="00705E5A">
      <w:pPr>
        <w:pStyle w:val="JuQuot"/>
      </w:pPr>
      <w:r w:rsidRPr="00FD78E8">
        <w:t>“1.</w:t>
      </w:r>
      <w:proofErr w:type="gramStart"/>
      <w:r w:rsidRPr="00FD78E8">
        <w:t>  Everyone</w:t>
      </w:r>
      <w:proofErr w:type="gramEnd"/>
      <w:r w:rsidRPr="00FD78E8">
        <w:t xml:space="preserve"> has the right to respect for his ... private and family life...</w:t>
      </w:r>
    </w:p>
    <w:p w:rsidRPr="00FD78E8" w:rsidR="00705E5A" w:rsidP="00FD78E8" w:rsidRDefault="00705E5A">
      <w:pPr>
        <w:pStyle w:val="JuQuot"/>
      </w:pPr>
      <w:r w:rsidRPr="00FD78E8">
        <w:t>2.</w:t>
      </w:r>
      <w:proofErr w:type="gramStart"/>
      <w:r w:rsidRPr="00FD78E8">
        <w:t>  There</w:t>
      </w:r>
      <w:proofErr w:type="gramEnd"/>
      <w:r w:rsidRPr="00FD78E8">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FD78E8" w:rsidR="00705E5A" w:rsidP="00FD78E8" w:rsidRDefault="00705E5A">
      <w:pPr>
        <w:pStyle w:val="JuHA"/>
      </w:pPr>
      <w:r w:rsidRPr="00FD78E8">
        <w:t>Admissibility</w:t>
      </w:r>
    </w:p>
    <w:p w:rsidRPr="00FD78E8" w:rsidR="00705E5A" w:rsidP="00FD78E8" w:rsidRDefault="00705E5A">
      <w:pPr>
        <w:pStyle w:val="JuPara"/>
      </w:pPr>
      <w:r w:rsidRPr="00FD78E8">
        <w:t>17.  The Court notes that the application is not manifestly ill-founded within the meaning of Article</w:t>
      </w:r>
      <w:r w:rsidRPr="00FD78E8" w:rsidR="005F0A73">
        <w:t xml:space="preserve"> </w:t>
      </w:r>
      <w:r w:rsidRPr="00FD78E8">
        <w:t>35</w:t>
      </w:r>
      <w:r w:rsidRPr="00FD78E8" w:rsidR="005F0A73">
        <w:t xml:space="preserve"> </w:t>
      </w:r>
      <w:r w:rsidRPr="00FD78E8">
        <w:t>§</w:t>
      </w:r>
      <w:r w:rsidRPr="00FD78E8" w:rsidR="005F0A73">
        <w:t xml:space="preserve"> </w:t>
      </w:r>
      <w:r w:rsidRPr="00FD78E8">
        <w:t>3</w:t>
      </w:r>
      <w:r w:rsidRPr="00FD78E8" w:rsidR="005F0A73">
        <w:t xml:space="preserve"> </w:t>
      </w:r>
      <w:r w:rsidRPr="00FD78E8">
        <w:t>(a) of the Convention. It further notes that it is not inadmissible on any other grounds. It must therefore be declared admissible.</w:t>
      </w:r>
    </w:p>
    <w:p w:rsidRPr="00FD78E8" w:rsidR="00705E5A" w:rsidP="00FD78E8" w:rsidRDefault="00705E5A">
      <w:pPr>
        <w:pStyle w:val="JuHA"/>
      </w:pPr>
      <w:r w:rsidRPr="00FD78E8">
        <w:t>Merits</w:t>
      </w:r>
    </w:p>
    <w:p w:rsidRPr="00FD78E8" w:rsidR="00705E5A" w:rsidP="00FD78E8" w:rsidRDefault="00705E5A">
      <w:pPr>
        <w:pStyle w:val="JuH1"/>
      </w:pPr>
      <w:r w:rsidRPr="00FD78E8">
        <w:t>The parties</w:t>
      </w:r>
      <w:r w:rsidRPr="00FD78E8" w:rsidR="00FD78E8">
        <w:t>’</w:t>
      </w:r>
      <w:r w:rsidRPr="00FD78E8">
        <w:t xml:space="preserve"> submissions</w:t>
      </w:r>
    </w:p>
    <w:p w:rsidRPr="00FD78E8" w:rsidR="00705E5A" w:rsidP="00FD78E8" w:rsidRDefault="00705E5A">
      <w:pPr>
        <w:pStyle w:val="JuHa0"/>
      </w:pPr>
      <w:r w:rsidRPr="00FD78E8">
        <w:t>The applicant</w:t>
      </w:r>
    </w:p>
    <w:p w:rsidRPr="00FD78E8" w:rsidR="00705E5A" w:rsidP="00FD78E8" w:rsidRDefault="00705E5A">
      <w:pPr>
        <w:pStyle w:val="JuPara"/>
      </w:pPr>
      <w:r w:rsidRPr="00FD78E8">
        <w:t xml:space="preserve">18.  The </w:t>
      </w:r>
      <w:r w:rsidRPr="00FD78E8">
        <w:rPr>
          <w:szCs w:val="24"/>
        </w:rPr>
        <w:t>applicant</w:t>
      </w:r>
      <w:r w:rsidRPr="00FD78E8">
        <w:t xml:space="preserve"> submitted that the relevant domestic legislation did not contain any provisions authorising a judge to interrupt or suspend the involuntary hospitalisation of a mentally ill person. However, she pointed out that in the three cases relied on by the Government (see paragraph</w:t>
      </w:r>
      <w:r w:rsidRPr="00FD78E8" w:rsidR="005F0A73">
        <w:t> </w:t>
      </w:r>
      <w:r w:rsidRPr="00FD78E8">
        <w:t xml:space="preserve">15 above), the </w:t>
      </w:r>
      <w:proofErr w:type="spellStart"/>
      <w:r w:rsidRPr="00FD78E8">
        <w:t>Buz</w:t>
      </w:r>
      <w:r w:rsidRPr="00FD78E8" w:rsidR="005F0A73">
        <w:t>ă</w:t>
      </w:r>
      <w:r w:rsidRPr="00FD78E8">
        <w:t>u</w:t>
      </w:r>
      <w:proofErr w:type="spellEnd"/>
      <w:r w:rsidRPr="00FD78E8">
        <w:t xml:space="preserve"> District Court had allowed the applicants</w:t>
      </w:r>
      <w:r w:rsidRPr="00FD78E8" w:rsidR="00FD78E8">
        <w:t>’</w:t>
      </w:r>
      <w:r w:rsidRPr="00FD78E8">
        <w:t xml:space="preserve"> requests for permission to attend their parents</w:t>
      </w:r>
      <w:r w:rsidRPr="00FD78E8" w:rsidR="00FD78E8">
        <w:t>’</w:t>
      </w:r>
      <w:r w:rsidRPr="00FD78E8">
        <w:t xml:space="preserve"> funerals without providing any legal basis for the decisions.</w:t>
      </w:r>
    </w:p>
    <w:p w:rsidRPr="00FD78E8" w:rsidR="00705E5A" w:rsidP="00FD78E8" w:rsidRDefault="00705E5A">
      <w:pPr>
        <w:pStyle w:val="JuPara"/>
      </w:pPr>
      <w:r w:rsidRPr="00FD78E8">
        <w:t>19.  In all three cases the domestic courts had examined the requests for leave in due time, while in her case the decisions had been made after her mother</w:t>
      </w:r>
      <w:r w:rsidRPr="00FD78E8" w:rsidR="00FD78E8">
        <w:t>’</w:t>
      </w:r>
      <w:r w:rsidRPr="00FD78E8">
        <w:t>s funeral. The request she had lodged on 12 April 2013 had not been examined until 25 May 2013 (see paragraphs 9 and 10 above).</w:t>
      </w:r>
    </w:p>
    <w:p w:rsidRPr="00FD78E8" w:rsidR="00705E5A" w:rsidP="00FD78E8" w:rsidRDefault="00705E5A">
      <w:pPr>
        <w:pStyle w:val="JuHa0"/>
      </w:pPr>
      <w:r w:rsidRPr="00FD78E8">
        <w:t>The Government</w:t>
      </w:r>
    </w:p>
    <w:p w:rsidRPr="00FD78E8" w:rsidR="00705E5A" w:rsidP="00FD78E8" w:rsidRDefault="00705E5A">
      <w:pPr>
        <w:pStyle w:val="JuPara"/>
      </w:pPr>
      <w:r w:rsidRPr="00FD78E8">
        <w:t>20.  The Government submitted that the purpose of admitting a mentally ill person to an inpatient mental health facility was to protect the public from danger and prevent him or her committing criminal offences. Moreover, as this type of measure played a preventive role, the State had a wide margin of appreciation.</w:t>
      </w:r>
    </w:p>
    <w:p w:rsidRPr="00FD78E8" w:rsidR="00705E5A" w:rsidP="00FD78E8" w:rsidRDefault="00705E5A">
      <w:pPr>
        <w:pStyle w:val="JuPara"/>
      </w:pPr>
      <w:r w:rsidRPr="00FD78E8">
        <w:t>21.  They also contended that since 2006 the Code of Criminal Procedure had provided for an automatic (</w:t>
      </w:r>
      <w:r w:rsidRPr="00FD78E8">
        <w:rPr>
          <w:i/>
        </w:rPr>
        <w:t>ex officio</w:t>
      </w:r>
      <w:r w:rsidRPr="00FD78E8">
        <w:t>) judicial review of involuntary hospitalisation at regular intervals. The courts could also decide to replace it with an alternative measure. Decisions were made after hearing the mentally ill person and on the basis of medical evidence. The courts could either discontinue or replace the measure but not interrupt it because as long as the measure was maintained it meant that the mentally ill person posed a danger to him or herself or others.</w:t>
      </w:r>
    </w:p>
    <w:p w:rsidRPr="00FD78E8" w:rsidR="00705E5A" w:rsidP="00FD78E8" w:rsidRDefault="00705E5A">
      <w:pPr>
        <w:pStyle w:val="JuPara"/>
      </w:pPr>
      <w:r w:rsidRPr="00FD78E8">
        <w:t>22.  The Government maintained that Romanian law did not allow for the interruption of such a measure. Drawing an analogy between the applicant</w:t>
      </w:r>
      <w:r w:rsidRPr="00FD78E8" w:rsidR="00FD78E8">
        <w:t>’</w:t>
      </w:r>
      <w:r w:rsidRPr="00FD78E8">
        <w:t>s situation and the provisions concerning the interruption of custodial sentences was not possible. Accordingly, neither the provisions of the Code of Criminal Procedure</w:t>
      </w:r>
      <w:r w:rsidRPr="00FD78E8" w:rsidR="0054217A">
        <w:t xml:space="preserve"> nor Law </w:t>
      </w:r>
      <w:r w:rsidRPr="00FD78E8">
        <w:t>no.</w:t>
      </w:r>
      <w:r w:rsidRPr="00FD78E8" w:rsidR="0054217A">
        <w:t xml:space="preserve"> </w:t>
      </w:r>
      <w:r w:rsidRPr="00FD78E8">
        <w:t>254/2013 on the execution of sentences (which replaced Law no.</w:t>
      </w:r>
      <w:r w:rsidRPr="00FD78E8" w:rsidR="0054217A">
        <w:t xml:space="preserve"> </w:t>
      </w:r>
      <w:r w:rsidRPr="00FD78E8">
        <w:t>275/2006) were applicable. Lastly, referring to the domestic decisions attached to their observations (see paragraph 15</w:t>
      </w:r>
      <w:r w:rsidRPr="00FD78E8">
        <w:rPr>
          <w:bCs/>
        </w:rPr>
        <w:t xml:space="preserve"> above</w:t>
      </w:r>
      <w:r w:rsidRPr="00FD78E8">
        <w:t>), they pointed out that although the possibility for mentally ill patients to attend their parents</w:t>
      </w:r>
      <w:r w:rsidRPr="00FD78E8" w:rsidR="00FD78E8">
        <w:t>’</w:t>
      </w:r>
      <w:r w:rsidRPr="00FD78E8">
        <w:t xml:space="preserve"> funeral was not provided for by domestic law, </w:t>
      </w:r>
      <w:proofErr w:type="gramStart"/>
      <w:r w:rsidRPr="00FD78E8">
        <w:t>such</w:t>
      </w:r>
      <w:proofErr w:type="gramEnd"/>
      <w:r w:rsidRPr="00FD78E8">
        <w:t xml:space="preserve"> requests were nevertheless accepted by the domestic courts.</w:t>
      </w:r>
    </w:p>
    <w:p w:rsidRPr="00FD78E8" w:rsidR="00705E5A" w:rsidP="00FD78E8" w:rsidRDefault="00705E5A">
      <w:pPr>
        <w:pStyle w:val="JuH1"/>
      </w:pPr>
      <w:r w:rsidRPr="00FD78E8">
        <w:t>The Court</w:t>
      </w:r>
      <w:r w:rsidRPr="00FD78E8" w:rsidR="00FD78E8">
        <w:t>’</w:t>
      </w:r>
      <w:r w:rsidRPr="00FD78E8">
        <w:t>s assessment</w:t>
      </w:r>
    </w:p>
    <w:p w:rsidRPr="00FD78E8" w:rsidR="00705E5A" w:rsidP="00FD78E8" w:rsidRDefault="00705E5A">
      <w:pPr>
        <w:pStyle w:val="JuPara"/>
        <w:rPr>
          <w:bCs/>
        </w:rPr>
      </w:pPr>
      <w:r w:rsidRPr="00FD78E8">
        <w:t xml:space="preserve">23.  The Court </w:t>
      </w:r>
      <w:r w:rsidRPr="00FD78E8">
        <w:rPr>
          <w:bCs/>
        </w:rPr>
        <w:t>reiterates that any interference with an individual</w:t>
      </w:r>
      <w:r w:rsidRPr="00FD78E8" w:rsidR="00FD78E8">
        <w:rPr>
          <w:bCs/>
        </w:rPr>
        <w:t>’</w:t>
      </w:r>
      <w:r w:rsidRPr="00FD78E8">
        <w:rPr>
          <w:bCs/>
        </w:rPr>
        <w:t>s right to respect for his private and family life will constitute a breach of Article</w:t>
      </w:r>
      <w:r w:rsidRPr="00FD78E8" w:rsidR="0054217A">
        <w:rPr>
          <w:bCs/>
        </w:rPr>
        <w:t> </w:t>
      </w:r>
      <w:r w:rsidRPr="00FD78E8">
        <w:rPr>
          <w:bCs/>
        </w:rPr>
        <w:t xml:space="preserve">8, unless it was “in accordance with the law”, pursued a legitimate aim or aims under paragraph 2, and was “necessary in a democratic society” in the sense that it was proportionate to the aims sought to be achieved (see, for instance and among other authorities, </w:t>
      </w:r>
      <w:proofErr w:type="spellStart"/>
      <w:r w:rsidRPr="00FD78E8">
        <w:rPr>
          <w:bCs/>
          <w:i/>
        </w:rPr>
        <w:t>Elsholz</w:t>
      </w:r>
      <w:proofErr w:type="spellEnd"/>
      <w:r w:rsidRPr="00FD78E8">
        <w:rPr>
          <w:bCs/>
          <w:i/>
        </w:rPr>
        <w:t xml:space="preserve"> v. Germany</w:t>
      </w:r>
      <w:r w:rsidRPr="00FD78E8" w:rsidR="0054217A">
        <w:rPr>
          <w:bCs/>
        </w:rPr>
        <w:t xml:space="preserve"> [GC], no. 25735/94, § 45, ECHR </w:t>
      </w:r>
      <w:r w:rsidRPr="00FD78E8">
        <w:rPr>
          <w:bCs/>
        </w:rPr>
        <w:t>2000-VIII).</w:t>
      </w:r>
    </w:p>
    <w:p w:rsidRPr="00FD78E8" w:rsidR="00705E5A" w:rsidP="00FD78E8" w:rsidRDefault="00705E5A">
      <w:pPr>
        <w:pStyle w:val="JuHa0"/>
      </w:pPr>
      <w:r w:rsidRPr="00FD78E8">
        <w:t>Whether there has been interference</w:t>
      </w:r>
    </w:p>
    <w:p w:rsidRPr="00FD78E8" w:rsidR="00705E5A" w:rsidP="00FD78E8" w:rsidRDefault="00705E5A">
      <w:pPr>
        <w:pStyle w:val="JuPara"/>
        <w:rPr>
          <w:bCs/>
        </w:rPr>
      </w:pPr>
      <w:r w:rsidRPr="00FD78E8">
        <w:t xml:space="preserve">24.  The </w:t>
      </w:r>
      <w:r w:rsidRPr="00FD78E8">
        <w:rPr>
          <w:bCs/>
        </w:rPr>
        <w:t>Government did not express their position on whether there had been “an interference by a public authority” within the meaning of Article 8 </w:t>
      </w:r>
      <w:r w:rsidRPr="00FD78E8" w:rsidR="0054217A">
        <w:rPr>
          <w:bCs/>
        </w:rPr>
        <w:t>§ </w:t>
      </w:r>
      <w:r w:rsidRPr="00FD78E8">
        <w:rPr>
          <w:bCs/>
        </w:rPr>
        <w:t>2 of the Convention with the applicant</w:t>
      </w:r>
      <w:r w:rsidRPr="00FD78E8" w:rsidR="00FD78E8">
        <w:rPr>
          <w:bCs/>
        </w:rPr>
        <w:t>’</w:t>
      </w:r>
      <w:r w:rsidRPr="00FD78E8">
        <w:rPr>
          <w:bCs/>
        </w:rPr>
        <w:t>s right to respect for her family life as guaranteed by Article 8 § 1. The Court has already found that refusing a detainee leave to attend a relative</w:t>
      </w:r>
      <w:r w:rsidRPr="00FD78E8" w:rsidR="00FD78E8">
        <w:rPr>
          <w:bCs/>
        </w:rPr>
        <w:t>’</w:t>
      </w:r>
      <w:r w:rsidRPr="00FD78E8">
        <w:rPr>
          <w:bCs/>
        </w:rPr>
        <w:t xml:space="preserve">s funeral constitutes an interference with the right to respect for family life (see </w:t>
      </w:r>
      <w:proofErr w:type="spellStart"/>
      <w:r w:rsidRPr="00FD78E8" w:rsidR="0054217A">
        <w:rPr>
          <w:bCs/>
          <w:i/>
          <w:iCs/>
        </w:rPr>
        <w:t>Płoski</w:t>
      </w:r>
      <w:proofErr w:type="spellEnd"/>
      <w:r w:rsidRPr="00FD78E8" w:rsidR="0054217A">
        <w:rPr>
          <w:bCs/>
          <w:i/>
          <w:iCs/>
        </w:rPr>
        <w:t xml:space="preserve"> v. </w:t>
      </w:r>
      <w:r w:rsidRPr="00FD78E8">
        <w:rPr>
          <w:bCs/>
          <w:i/>
          <w:iCs/>
        </w:rPr>
        <w:t>Poland</w:t>
      </w:r>
      <w:r w:rsidRPr="00FD78E8" w:rsidR="0054217A">
        <w:rPr>
          <w:bCs/>
        </w:rPr>
        <w:t>, no. </w:t>
      </w:r>
      <w:r w:rsidRPr="00FD78E8">
        <w:rPr>
          <w:bCs/>
        </w:rPr>
        <w:t>26761/95, §</w:t>
      </w:r>
      <w:r w:rsidRPr="00FD78E8" w:rsidR="0054217A">
        <w:rPr>
          <w:bCs/>
        </w:rPr>
        <w:t xml:space="preserve"> </w:t>
      </w:r>
      <w:r w:rsidRPr="00FD78E8">
        <w:rPr>
          <w:bCs/>
        </w:rPr>
        <w:t xml:space="preserve">32, 12 November 2002; see also, </w:t>
      </w:r>
      <w:r w:rsidRPr="00FD78E8">
        <w:rPr>
          <w:bCs/>
          <w:i/>
        </w:rPr>
        <w:t>mutatis mutandis</w:t>
      </w:r>
      <w:r w:rsidRPr="00FD78E8">
        <w:rPr>
          <w:bCs/>
        </w:rPr>
        <w:t xml:space="preserve">, </w:t>
      </w:r>
      <w:proofErr w:type="spellStart"/>
      <w:r w:rsidRPr="00FD78E8">
        <w:rPr>
          <w:bCs/>
          <w:i/>
        </w:rPr>
        <w:t>Schemkamper</w:t>
      </w:r>
      <w:proofErr w:type="spellEnd"/>
      <w:r w:rsidRPr="00FD78E8">
        <w:rPr>
          <w:bCs/>
          <w:i/>
        </w:rPr>
        <w:t xml:space="preserve"> v. France</w:t>
      </w:r>
      <w:r w:rsidRPr="00FD78E8" w:rsidR="0054217A">
        <w:rPr>
          <w:bCs/>
        </w:rPr>
        <w:t xml:space="preserve">, no. </w:t>
      </w:r>
      <w:r w:rsidRPr="00FD78E8">
        <w:rPr>
          <w:bCs/>
        </w:rPr>
        <w:t>75833/01, § 31, 18 October 2005). Although the applicant is detained in a psychiatric facility and not a prison as in the cited case-law, the Court, notwithstanding the differences between prisoners and psychiatric patients, sees no reason to depart from its previous findings in the present case. Accordingly, the refusal to grant the applicant leave to attend her mother</w:t>
      </w:r>
      <w:r w:rsidRPr="00FD78E8" w:rsidR="00FD78E8">
        <w:rPr>
          <w:bCs/>
        </w:rPr>
        <w:t>’</w:t>
      </w:r>
      <w:r w:rsidRPr="00FD78E8">
        <w:rPr>
          <w:bCs/>
        </w:rPr>
        <w:t>s funeral interfered with her rights under Article 8 of the Convention.</w:t>
      </w:r>
    </w:p>
    <w:p w:rsidRPr="00FD78E8" w:rsidR="00705E5A" w:rsidP="00FD78E8" w:rsidRDefault="00705E5A">
      <w:pPr>
        <w:pStyle w:val="JuHa0"/>
      </w:pPr>
      <w:r w:rsidRPr="00FD78E8">
        <w:t>Whether the interference was justified</w:t>
      </w:r>
    </w:p>
    <w:p w:rsidRPr="00FD78E8" w:rsidR="00705E5A" w:rsidP="00FD78E8" w:rsidRDefault="00705E5A">
      <w:pPr>
        <w:pStyle w:val="JuHi"/>
      </w:pPr>
      <w:r w:rsidRPr="00FD78E8">
        <w:t>Lawfulness of the interference</w:t>
      </w:r>
    </w:p>
    <w:p w:rsidRPr="00FD78E8" w:rsidR="00705E5A" w:rsidP="00FD78E8" w:rsidRDefault="00705E5A">
      <w:pPr>
        <w:pStyle w:val="JuPara"/>
        <w:rPr>
          <w:bCs/>
        </w:rPr>
      </w:pPr>
      <w:r w:rsidRPr="00FD78E8">
        <w:t>25.  </w:t>
      </w:r>
      <w:r w:rsidRPr="00FD78E8">
        <w:rPr>
          <w:bCs/>
        </w:rPr>
        <w:t>The Court notes that in the present case the domestic court of last resort dismissed the applicant</w:t>
      </w:r>
      <w:r w:rsidRPr="00FD78E8" w:rsidR="00FD78E8">
        <w:rPr>
          <w:bCs/>
        </w:rPr>
        <w:t>’</w:t>
      </w:r>
      <w:r w:rsidRPr="00FD78E8">
        <w:rPr>
          <w:bCs/>
        </w:rPr>
        <w:t xml:space="preserve">s request for leave on the grounds that there were no legal provisions allowing for the interruption of her detention in a psychiatric facility. It considered that an analogy could not be drawn between her situation and Law no. 275/2006 on the execution of sentences (see paragraph </w:t>
      </w:r>
      <w:r w:rsidRPr="00FD78E8">
        <w:t>12</w:t>
      </w:r>
      <w:r w:rsidRPr="00FD78E8">
        <w:rPr>
          <w:bCs/>
        </w:rPr>
        <w:t xml:space="preserve"> above). Moreover, the Court notes that Romanian law does not contain any provisions on this particular issue.</w:t>
      </w:r>
    </w:p>
    <w:p w:rsidRPr="00FD78E8" w:rsidR="00705E5A" w:rsidP="00FD78E8" w:rsidRDefault="00705E5A">
      <w:pPr>
        <w:pStyle w:val="JuPara"/>
        <w:rPr>
          <w:bCs/>
        </w:rPr>
      </w:pPr>
      <w:r w:rsidRPr="00FD78E8">
        <w:rPr>
          <w:bCs/>
        </w:rPr>
        <w:t>26.  Despite citing examples of domestic decisions whereby mentally ill persons were allowed by the courts to attend their parents</w:t>
      </w:r>
      <w:r w:rsidRPr="00FD78E8" w:rsidR="00FD78E8">
        <w:rPr>
          <w:bCs/>
        </w:rPr>
        <w:t>’</w:t>
      </w:r>
      <w:r w:rsidRPr="00FD78E8">
        <w:rPr>
          <w:bCs/>
        </w:rPr>
        <w:t xml:space="preserve"> funerals (see </w:t>
      </w:r>
      <w:r w:rsidRPr="00FD78E8" w:rsidR="0054217A">
        <w:rPr>
          <w:bCs/>
        </w:rPr>
        <w:t>paragraph </w:t>
      </w:r>
      <w:r w:rsidRPr="00FD78E8">
        <w:t>15</w:t>
      </w:r>
      <w:r w:rsidRPr="00FD78E8">
        <w:rPr>
          <w:bCs/>
        </w:rPr>
        <w:t xml:space="preserve"> above), the Government affirmed that no such right existed in domestic law. However, it is to be noted that while no right existed, it was not expressly denied by law either. The domestic decisions indicated by the Government might suggest that there was a practice in Romania recognising the existence of such a right and setting the conditions for granting leave to mentally ill persons to attend the funerals of their close family members. At this point, the Court does not have the means to assess whether this practice is sufficiently clear to constitute “law” within the meaning of Article 8 of the Convention (see, </w:t>
      </w:r>
      <w:r w:rsidRPr="00FD78E8">
        <w:rPr>
          <w:bCs/>
          <w:i/>
        </w:rPr>
        <w:t>mutatis mutandis</w:t>
      </w:r>
      <w:r w:rsidRPr="00FD78E8">
        <w:rPr>
          <w:bCs/>
        </w:rPr>
        <w:t xml:space="preserve">, </w:t>
      </w:r>
      <w:r w:rsidRPr="00FD78E8">
        <w:rPr>
          <w:bCs/>
          <w:i/>
          <w:iCs/>
        </w:rPr>
        <w:t xml:space="preserve">Feldman v. </w:t>
      </w:r>
      <w:r w:rsidRPr="00FD78E8" w:rsidR="0054217A">
        <w:rPr>
          <w:bCs/>
          <w:i/>
          <w:iCs/>
        </w:rPr>
        <w:t>Ukraine (no. </w:t>
      </w:r>
      <w:r w:rsidRPr="00FD78E8">
        <w:rPr>
          <w:bCs/>
          <w:i/>
          <w:iCs/>
        </w:rPr>
        <w:t>2)</w:t>
      </w:r>
      <w:r w:rsidRPr="00FD78E8">
        <w:rPr>
          <w:bCs/>
        </w:rPr>
        <w:t>, no. 42921/09, §</w:t>
      </w:r>
      <w:r w:rsidRPr="00FD78E8" w:rsidR="0054217A">
        <w:rPr>
          <w:bCs/>
        </w:rPr>
        <w:t xml:space="preserve"> </w:t>
      </w:r>
      <w:r w:rsidRPr="00FD78E8">
        <w:rPr>
          <w:bCs/>
        </w:rPr>
        <w:t>23, 12</w:t>
      </w:r>
      <w:r w:rsidRPr="00FD78E8" w:rsidR="0054217A">
        <w:rPr>
          <w:bCs/>
        </w:rPr>
        <w:t xml:space="preserve"> </w:t>
      </w:r>
      <w:r w:rsidRPr="00FD78E8">
        <w:rPr>
          <w:bCs/>
        </w:rPr>
        <w:t>January 2012).</w:t>
      </w:r>
    </w:p>
    <w:p w:rsidRPr="00FD78E8" w:rsidR="00705E5A" w:rsidP="00FD78E8" w:rsidRDefault="00705E5A">
      <w:pPr>
        <w:pStyle w:val="JuPara"/>
        <w:rPr>
          <w:bCs/>
        </w:rPr>
      </w:pPr>
      <w:r w:rsidRPr="00FD78E8">
        <w:rPr>
          <w:bCs/>
        </w:rPr>
        <w:t>27.  Be that as it may, the Court considers that even assuming that the interference was lawful, it was not “necessary in a democratic society”, for the reasons detailed below (see paragraphs 29</w:t>
      </w:r>
      <w:r w:rsidRPr="00FD78E8" w:rsidR="0054217A">
        <w:rPr>
          <w:bCs/>
        </w:rPr>
        <w:t>-</w:t>
      </w:r>
      <w:r w:rsidRPr="00FD78E8">
        <w:rPr>
          <w:bCs/>
        </w:rPr>
        <w:t>36 below).</w:t>
      </w:r>
    </w:p>
    <w:p w:rsidRPr="00FD78E8" w:rsidR="00705E5A" w:rsidP="00FD78E8" w:rsidRDefault="00705E5A">
      <w:pPr>
        <w:pStyle w:val="JuHi"/>
      </w:pPr>
      <w:r w:rsidRPr="00FD78E8">
        <w:t>Whether the interference pursued a legitimate aim</w:t>
      </w:r>
    </w:p>
    <w:p w:rsidRPr="00FD78E8" w:rsidR="00705E5A" w:rsidP="00FD78E8" w:rsidRDefault="00705E5A">
      <w:pPr>
        <w:pStyle w:val="JuPara"/>
        <w:rPr>
          <w:bCs/>
        </w:rPr>
      </w:pPr>
      <w:r w:rsidRPr="00FD78E8">
        <w:rPr>
          <w:bCs/>
        </w:rPr>
        <w:t>28.  The Court is satisfied that the interference took place in the interests of “public safety” and “for the prevention of disorder or crime”.</w:t>
      </w:r>
    </w:p>
    <w:p w:rsidRPr="00FD78E8" w:rsidR="00705E5A" w:rsidP="00FD78E8" w:rsidRDefault="00705E5A">
      <w:pPr>
        <w:pStyle w:val="JuHi"/>
      </w:pPr>
      <w:r w:rsidRPr="00FD78E8">
        <w:t>Whether the interference was necessary in a democratic society</w:t>
      </w:r>
    </w:p>
    <w:p w:rsidRPr="00FD78E8" w:rsidR="00705E5A" w:rsidP="00FD78E8" w:rsidRDefault="00705E5A">
      <w:pPr>
        <w:pStyle w:val="JuPara"/>
      </w:pPr>
      <w:bookmarkStart w:name="p27" w:id="8"/>
      <w:r w:rsidRPr="00FD78E8">
        <w:t>29</w:t>
      </w:r>
      <w:bookmarkEnd w:id="8"/>
      <w:r w:rsidRPr="00FD78E8">
        <w:t>.  According to the Court</w:t>
      </w:r>
      <w:r w:rsidRPr="00FD78E8" w:rsidR="00FD78E8">
        <w:t>’</w:t>
      </w:r>
      <w:r w:rsidRPr="00FD78E8">
        <w:t>s case-law, Article 8 of the Convention does not guarantee a detained person an unconditional right to leave to attend a relative</w:t>
      </w:r>
      <w:r w:rsidRPr="00FD78E8" w:rsidR="00FD78E8">
        <w:t>’</w:t>
      </w:r>
      <w:r w:rsidRPr="00FD78E8">
        <w:t xml:space="preserve">s funeral. At the same time the Court emphasises that even if a detainee by the very nature of his situation must be subjected to various limitations of his rights and freedoms, every such limitation must be nevertheless justifiable as necessary in a democratic society (see </w:t>
      </w:r>
      <w:r w:rsidRPr="00FD78E8">
        <w:rPr>
          <w:i/>
          <w:iCs/>
        </w:rPr>
        <w:t>Lind v. Russia</w:t>
      </w:r>
      <w:r w:rsidRPr="00FD78E8">
        <w:t>, no. 25664/05, § 94, 6 December 2007). The State can refuse an individual the right to attend his or her parents</w:t>
      </w:r>
      <w:r w:rsidRPr="00FD78E8" w:rsidR="00FD78E8">
        <w:t>’</w:t>
      </w:r>
      <w:r w:rsidRPr="00FD78E8">
        <w:t xml:space="preserve"> funerals only if there are compelling reasons and if no alternative solution can be found (see </w:t>
      </w:r>
      <w:proofErr w:type="spellStart"/>
      <w:r w:rsidRPr="00FD78E8">
        <w:rPr>
          <w:i/>
        </w:rPr>
        <w:t>Płoski</w:t>
      </w:r>
      <w:proofErr w:type="spellEnd"/>
      <w:r w:rsidRPr="00FD78E8">
        <w:t xml:space="preserve">, cited above, § 37). In addition, the Court reiterates that perpetrators of criminal acts who suffer from mental disorders and are placed in psychiatric facilities are in a fundamentally different situation than other detainees, in terms of nature and purpose of their detention (see, </w:t>
      </w:r>
      <w:r w:rsidRPr="00FD78E8">
        <w:rPr>
          <w:i/>
        </w:rPr>
        <w:t>mutatis mutandis</w:t>
      </w:r>
      <w:r w:rsidRPr="00FD78E8">
        <w:t xml:space="preserve">, </w:t>
      </w:r>
      <w:proofErr w:type="spellStart"/>
      <w:r w:rsidRPr="00FD78E8">
        <w:rPr>
          <w:i/>
          <w:iCs/>
        </w:rPr>
        <w:t>Ilnseher</w:t>
      </w:r>
      <w:proofErr w:type="spellEnd"/>
      <w:r w:rsidRPr="00FD78E8">
        <w:rPr>
          <w:i/>
          <w:iCs/>
        </w:rPr>
        <w:t xml:space="preserve"> v. Germany</w:t>
      </w:r>
      <w:r w:rsidRPr="00FD78E8">
        <w:t xml:space="preserve"> [GC], nos. 10211/12 and 27505/14, §§ 219</w:t>
      </w:r>
      <w:r w:rsidRPr="00FD78E8" w:rsidR="0054217A">
        <w:t>-</w:t>
      </w:r>
      <w:r w:rsidRPr="00FD78E8">
        <w:t>27, 4 December 2018). Consequently, the Court accepts that there are different risks to be assessed by the authorities when the request for temporary release is made by a detainee from a psychiatric facility.</w:t>
      </w:r>
    </w:p>
    <w:p w:rsidRPr="00FD78E8" w:rsidR="00705E5A" w:rsidP="00FD78E8" w:rsidRDefault="00705E5A">
      <w:pPr>
        <w:pStyle w:val="JuPara"/>
        <w:rPr>
          <w:bCs/>
        </w:rPr>
      </w:pPr>
      <w:r w:rsidRPr="00FD78E8">
        <w:rPr>
          <w:bCs/>
        </w:rPr>
        <w:t>30.  The Court observes that the applicant was involuntarily admitted to a psychiatric facility because she had committed a violent crime</w:t>
      </w:r>
      <w:r w:rsidRPr="00FD78E8" w:rsidR="0054217A">
        <w:rPr>
          <w:bCs/>
        </w:rPr>
        <w:t xml:space="preserve"> in 2005 (see paragraph </w:t>
      </w:r>
      <w:r w:rsidRPr="00FD78E8">
        <w:t>6</w:t>
      </w:r>
      <w:r w:rsidRPr="00FD78E8">
        <w:rPr>
          <w:bCs/>
        </w:rPr>
        <w:t xml:space="preserve"> above). Seven years later, in 2013, the domestic courts dismissed her request to attend her mother</w:t>
      </w:r>
      <w:r w:rsidRPr="00FD78E8" w:rsidR="00FD78E8">
        <w:rPr>
          <w:bCs/>
        </w:rPr>
        <w:t>’</w:t>
      </w:r>
      <w:r w:rsidRPr="00FD78E8">
        <w:rPr>
          <w:bCs/>
        </w:rPr>
        <w:t xml:space="preserve">s funeral without any apparent assessment of her condition at that time. In particular, when considering the request on its merits, the </w:t>
      </w:r>
      <w:r w:rsidRPr="00FD78E8" w:rsidR="0054217A">
        <w:rPr>
          <w:bCs/>
        </w:rPr>
        <w:t>first-</w:t>
      </w:r>
      <w:r w:rsidRPr="00FD78E8">
        <w:rPr>
          <w:bCs/>
        </w:rPr>
        <w:t>instance court referred only to her initial diagnosis and in general to the danger she might pose to the public because of her illness. There is no evidence that the applicant</w:t>
      </w:r>
      <w:r w:rsidRPr="00FD78E8" w:rsidR="00FD78E8">
        <w:rPr>
          <w:bCs/>
        </w:rPr>
        <w:t>’</w:t>
      </w:r>
      <w:r w:rsidRPr="00FD78E8">
        <w:rPr>
          <w:bCs/>
        </w:rPr>
        <w:t>s situation was assessed either by medical experts or by the court itself in relation to the request to attend the funeral.</w:t>
      </w:r>
    </w:p>
    <w:p w:rsidRPr="00FD78E8" w:rsidR="00705E5A" w:rsidP="00FD78E8" w:rsidRDefault="00705E5A">
      <w:pPr>
        <w:pStyle w:val="JuPara"/>
        <w:rPr>
          <w:bCs/>
          <w:lang w:val="en-US"/>
        </w:rPr>
      </w:pPr>
      <w:r w:rsidRPr="00FD78E8">
        <w:rPr>
          <w:bCs/>
          <w:lang w:val="en-US"/>
        </w:rPr>
        <w:t>31.  Furthermore, in the final decision of 22 October 2013, the applicant was eventually denied the right to attend her mother</w:t>
      </w:r>
      <w:r w:rsidRPr="00FD78E8" w:rsidR="00FD78E8">
        <w:rPr>
          <w:bCs/>
          <w:lang w:val="en-US"/>
        </w:rPr>
        <w:t>’</w:t>
      </w:r>
      <w:r w:rsidRPr="00FD78E8">
        <w:rPr>
          <w:bCs/>
          <w:lang w:val="en-US"/>
        </w:rPr>
        <w:t>s funeral on the sole grounds that the domestic law did not provide for su</w:t>
      </w:r>
      <w:r w:rsidRPr="00FD78E8" w:rsidR="0054217A">
        <w:rPr>
          <w:bCs/>
          <w:lang w:val="en-US"/>
        </w:rPr>
        <w:t>ch a possibility (see paragraph </w:t>
      </w:r>
      <w:r w:rsidRPr="00FD78E8">
        <w:t>12</w:t>
      </w:r>
      <w:r w:rsidRPr="00FD78E8">
        <w:rPr>
          <w:bCs/>
          <w:lang w:val="en-US"/>
        </w:rPr>
        <w:t xml:space="preserve"> above). Her individual situation was not assessed at all by the </w:t>
      </w:r>
      <w:proofErr w:type="spellStart"/>
      <w:r w:rsidRPr="00FD78E8">
        <w:rPr>
          <w:bCs/>
        </w:rPr>
        <w:t>Iaşi</w:t>
      </w:r>
      <w:proofErr w:type="spellEnd"/>
      <w:r w:rsidRPr="00FD78E8">
        <w:rPr>
          <w:bCs/>
        </w:rPr>
        <w:t xml:space="preserve"> County Court</w:t>
      </w:r>
      <w:r w:rsidRPr="00FD78E8">
        <w:rPr>
          <w:bCs/>
          <w:lang w:val="en-US"/>
        </w:rPr>
        <w:t>.</w:t>
      </w:r>
    </w:p>
    <w:p w:rsidRPr="00FD78E8" w:rsidR="00705E5A" w:rsidP="00FD78E8" w:rsidRDefault="00705E5A">
      <w:pPr>
        <w:pStyle w:val="JuPara"/>
        <w:rPr>
          <w:bCs/>
        </w:rPr>
      </w:pPr>
      <w:r w:rsidRPr="00FD78E8">
        <w:rPr>
          <w:bCs/>
        </w:rPr>
        <w:t>32.  It is to be noted that, although unable to refer to any legal basis for their decisions, when allowing similar requests, the domestic courts based their findings on medical evidence assessing the claimants</w:t>
      </w:r>
      <w:r w:rsidRPr="00FD78E8" w:rsidR="00FD78E8">
        <w:rPr>
          <w:bCs/>
        </w:rPr>
        <w:t>’</w:t>
      </w:r>
      <w:r w:rsidRPr="00FD78E8">
        <w:rPr>
          <w:bCs/>
        </w:rPr>
        <w:t xml:space="preserve"> situation (see paragraph 15 above). It is however unclear whether an obligation to request a medical assessment lies with the claimants and if so, to whom and at what point such a request should be made. Under these circumstances, the applicant cannot be blamed for the absence of any medical evidence attached to her request for leave.</w:t>
      </w:r>
    </w:p>
    <w:p w:rsidRPr="00FD78E8" w:rsidR="00705E5A" w:rsidP="00FD78E8" w:rsidRDefault="00705E5A">
      <w:pPr>
        <w:pStyle w:val="JuPara"/>
        <w:rPr>
          <w:bCs/>
        </w:rPr>
      </w:pPr>
      <w:r w:rsidRPr="00FD78E8">
        <w:rPr>
          <w:bCs/>
        </w:rPr>
        <w:t>33.  Taking into account the seriousness of what was at stake in this case, namely refusing an individual the right to attend her mother</w:t>
      </w:r>
      <w:r w:rsidRPr="00FD78E8" w:rsidR="00FD78E8">
        <w:rPr>
          <w:bCs/>
        </w:rPr>
        <w:t>’</w:t>
      </w:r>
      <w:r w:rsidRPr="00FD78E8">
        <w:rPr>
          <w:bCs/>
        </w:rPr>
        <w:t>s funeral, even if the applicant could be seen as posing a threat to public safety at the relevant time, the domestic courts should have explored alternative ways of ensuring her attendance at the funeral and only dismissed her request for leave if none could be found. The Court observes, for instance, that one patient in a similar situation was able to hav</w:t>
      </w:r>
      <w:r w:rsidRPr="00FD78E8" w:rsidR="002A681C">
        <w:rPr>
          <w:bCs/>
        </w:rPr>
        <w:t>e escorted leave (see paragraph </w:t>
      </w:r>
      <w:r w:rsidRPr="00FD78E8">
        <w:rPr>
          <w:bCs/>
        </w:rPr>
        <w:t xml:space="preserve">15 </w:t>
      </w:r>
      <w:r w:rsidRPr="00FD78E8">
        <w:rPr>
          <w:bCs/>
          <w:i/>
        </w:rPr>
        <w:t xml:space="preserve">in fine </w:t>
      </w:r>
      <w:r w:rsidRPr="00FD78E8">
        <w:rPr>
          <w:bCs/>
        </w:rPr>
        <w:t>above). In the applicant</w:t>
      </w:r>
      <w:r w:rsidRPr="00FD78E8" w:rsidR="00FD78E8">
        <w:rPr>
          <w:bCs/>
        </w:rPr>
        <w:t>’</w:t>
      </w:r>
      <w:r w:rsidRPr="00FD78E8">
        <w:rPr>
          <w:bCs/>
        </w:rPr>
        <w:t>s case the domestic courts did not even consider that as an option.</w:t>
      </w:r>
    </w:p>
    <w:p w:rsidRPr="00FD78E8" w:rsidR="00705E5A" w:rsidP="00FD78E8" w:rsidRDefault="00705E5A">
      <w:pPr>
        <w:pStyle w:val="JuPara"/>
        <w:rPr>
          <w:bCs/>
        </w:rPr>
      </w:pPr>
      <w:r w:rsidRPr="00FD78E8">
        <w:rPr>
          <w:bCs/>
        </w:rPr>
        <w:t>34.  In the Court</w:t>
      </w:r>
      <w:r w:rsidRPr="00FD78E8" w:rsidR="00FD78E8">
        <w:rPr>
          <w:bCs/>
        </w:rPr>
        <w:t>’</w:t>
      </w:r>
      <w:r w:rsidRPr="00FD78E8">
        <w:rPr>
          <w:bCs/>
        </w:rPr>
        <w:t>s opinion the unconditional denial by the domestic courts of compassionate leave or another solution to enable the applicant to attend her mother</w:t>
      </w:r>
      <w:r w:rsidRPr="00FD78E8" w:rsidR="00FD78E8">
        <w:rPr>
          <w:bCs/>
        </w:rPr>
        <w:t>’</w:t>
      </w:r>
      <w:r w:rsidRPr="00FD78E8">
        <w:rPr>
          <w:bCs/>
        </w:rPr>
        <w:t>s funeral is not compatible with the State</w:t>
      </w:r>
      <w:r w:rsidRPr="00FD78E8" w:rsidR="00FD78E8">
        <w:rPr>
          <w:bCs/>
        </w:rPr>
        <w:t>’</w:t>
      </w:r>
      <w:r w:rsidRPr="00FD78E8">
        <w:rPr>
          <w:bCs/>
        </w:rPr>
        <w:t>s duty to assess each individual request on its merits and demonstrate that the restriction on the individual</w:t>
      </w:r>
      <w:r w:rsidRPr="00FD78E8" w:rsidR="00FD78E8">
        <w:rPr>
          <w:bCs/>
        </w:rPr>
        <w:t>’</w:t>
      </w:r>
      <w:r w:rsidRPr="00FD78E8">
        <w:rPr>
          <w:bCs/>
        </w:rPr>
        <w:t>s right to attend a relative</w:t>
      </w:r>
      <w:r w:rsidRPr="00FD78E8" w:rsidR="00FD78E8">
        <w:rPr>
          <w:bCs/>
        </w:rPr>
        <w:t>’</w:t>
      </w:r>
      <w:r w:rsidRPr="00FD78E8">
        <w:rPr>
          <w:bCs/>
        </w:rPr>
        <w:t xml:space="preserve">s funeral was “necessary in a democratic society” (see, </w:t>
      </w:r>
      <w:r w:rsidRPr="00FD78E8">
        <w:rPr>
          <w:bCs/>
          <w:i/>
        </w:rPr>
        <w:t>mutatis mutandis</w:t>
      </w:r>
      <w:r w:rsidRPr="00FD78E8">
        <w:rPr>
          <w:bCs/>
        </w:rPr>
        <w:t xml:space="preserve">, </w:t>
      </w:r>
      <w:r w:rsidRPr="00FD78E8">
        <w:rPr>
          <w:bCs/>
          <w:i/>
          <w:iCs/>
        </w:rPr>
        <w:t>Feldman</w:t>
      </w:r>
      <w:r w:rsidRPr="00FD78E8">
        <w:rPr>
          <w:bCs/>
        </w:rPr>
        <w:t>, cited above</w:t>
      </w:r>
      <w:r w:rsidRPr="00FD78E8" w:rsidR="00C07A62">
        <w:rPr>
          <w:bCs/>
        </w:rPr>
        <w:t xml:space="preserve">, § </w:t>
      </w:r>
      <w:r w:rsidRPr="00FD78E8">
        <w:rPr>
          <w:bCs/>
        </w:rPr>
        <w:t>35).</w:t>
      </w:r>
    </w:p>
    <w:p w:rsidRPr="00FD78E8" w:rsidR="00705E5A" w:rsidP="00FD78E8" w:rsidRDefault="00705E5A">
      <w:pPr>
        <w:pStyle w:val="JuPara"/>
        <w:rPr>
          <w:bCs/>
          <w:iCs/>
        </w:rPr>
      </w:pPr>
      <w:r w:rsidRPr="00FD78E8">
        <w:rPr>
          <w:bCs/>
          <w:iCs/>
        </w:rPr>
        <w:t>35.  </w:t>
      </w:r>
      <w:r w:rsidRPr="00FD78E8">
        <w:rPr>
          <w:bCs/>
        </w:rPr>
        <w:t>Lastly, the Court notes that the State authorities did not handle the applicant</w:t>
      </w:r>
      <w:r w:rsidRPr="00FD78E8" w:rsidR="00FD78E8">
        <w:rPr>
          <w:bCs/>
        </w:rPr>
        <w:t>’</w:t>
      </w:r>
      <w:r w:rsidRPr="00FD78E8">
        <w:rPr>
          <w:bCs/>
        </w:rPr>
        <w:t>s request for leave diligently and speedily; her request was examined by the first-instance court a month and a half after her mother</w:t>
      </w:r>
      <w:r w:rsidRPr="00FD78E8" w:rsidR="00FD78E8">
        <w:rPr>
          <w:bCs/>
        </w:rPr>
        <w:t>’</w:t>
      </w:r>
      <w:r w:rsidRPr="00FD78E8">
        <w:rPr>
          <w:bCs/>
        </w:rPr>
        <w:t xml:space="preserve">s funeral had taken place (see paragraph </w:t>
      </w:r>
      <w:r w:rsidRPr="00FD78E8">
        <w:t>10</w:t>
      </w:r>
      <w:r w:rsidRPr="00FD78E8">
        <w:rPr>
          <w:bCs/>
        </w:rPr>
        <w:t xml:space="preserve"> above), thus depriving a possible decision to grant leave of any useful effect.</w:t>
      </w:r>
    </w:p>
    <w:p w:rsidRPr="00FD78E8" w:rsidR="00705E5A" w:rsidP="00FD78E8" w:rsidRDefault="00705E5A">
      <w:pPr>
        <w:pStyle w:val="JuPara"/>
        <w:rPr>
          <w:bCs/>
        </w:rPr>
      </w:pPr>
      <w:bookmarkStart w:name="p33" w:id="9"/>
      <w:r w:rsidRPr="00FD78E8">
        <w:rPr>
          <w:bCs/>
        </w:rPr>
        <w:t>36</w:t>
      </w:r>
      <w:bookmarkEnd w:id="9"/>
      <w:r w:rsidRPr="00FD78E8">
        <w:rPr>
          <w:bCs/>
        </w:rPr>
        <w:t>.  In the light of the above, the Court finds that there has been a violation of Article 8 of the Convention.</w:t>
      </w:r>
    </w:p>
    <w:p w:rsidRPr="00FD78E8" w:rsidR="00705E5A" w:rsidP="00FD78E8" w:rsidRDefault="00705E5A">
      <w:pPr>
        <w:pStyle w:val="JuHIRoman"/>
      </w:pPr>
      <w:r w:rsidRPr="00FD78E8">
        <w:t>APPLICATION OF ARTICLE 41 OF THE CONVENTION</w:t>
      </w:r>
    </w:p>
    <w:p w:rsidRPr="00FD78E8" w:rsidR="00705E5A" w:rsidP="00FD78E8" w:rsidRDefault="00705E5A">
      <w:pPr>
        <w:pStyle w:val="JuPara"/>
        <w:keepNext/>
        <w:keepLines/>
      </w:pPr>
      <w:r w:rsidRPr="00FD78E8">
        <w:t>37</w:t>
      </w:r>
      <w:r w:rsidRPr="00FD78E8" w:rsidR="00C07A62">
        <w:t xml:space="preserve">.  Article </w:t>
      </w:r>
      <w:r w:rsidRPr="00FD78E8">
        <w:t>41 of the Convention provides:</w:t>
      </w:r>
    </w:p>
    <w:p w:rsidRPr="00FD78E8" w:rsidR="00705E5A" w:rsidP="00FD78E8" w:rsidRDefault="00705E5A">
      <w:pPr>
        <w:pStyle w:val="JuQuot"/>
        <w:keepNext/>
        <w:keepLines/>
      </w:pPr>
      <w:r w:rsidRPr="00FD78E8">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FD78E8" w:rsidR="00705E5A" w:rsidP="00FD78E8" w:rsidRDefault="00705E5A">
      <w:pPr>
        <w:pStyle w:val="JuHA"/>
      </w:pPr>
      <w:r w:rsidRPr="00FD78E8">
        <w:t>Damage</w:t>
      </w:r>
    </w:p>
    <w:p w:rsidRPr="00FD78E8" w:rsidR="00705E5A" w:rsidP="00FD78E8" w:rsidRDefault="00705E5A">
      <w:pPr>
        <w:pStyle w:val="JuPara"/>
      </w:pPr>
      <w:r w:rsidRPr="00FD78E8">
        <w:t xml:space="preserve">38.  The </w:t>
      </w:r>
      <w:r w:rsidRPr="00FD78E8">
        <w:rPr>
          <w:szCs w:val="24"/>
        </w:rPr>
        <w:t>applicant</w:t>
      </w:r>
      <w:r w:rsidRPr="00FD78E8">
        <w:t xml:space="preserve"> claimed 10,000 euros (EUR) in respect of </w:t>
      </w:r>
      <w:r w:rsidRPr="00FD78E8" w:rsidR="00C07A62">
        <w:br/>
      </w:r>
      <w:r w:rsidRPr="00FD78E8">
        <w:t>non-pecuniary damage. She submitted that the inability to attend her mother</w:t>
      </w:r>
      <w:r w:rsidRPr="00FD78E8" w:rsidR="00FD78E8">
        <w:t>’</w:t>
      </w:r>
      <w:r w:rsidRPr="00FD78E8">
        <w:t>s funeral had caused her lasting suffering.</w:t>
      </w:r>
    </w:p>
    <w:p w:rsidRPr="00FD78E8" w:rsidR="00705E5A" w:rsidP="00FD78E8" w:rsidRDefault="00705E5A">
      <w:pPr>
        <w:pStyle w:val="JuPara"/>
      </w:pPr>
      <w:r w:rsidRPr="00FD78E8">
        <w:t>39.  The Government submitted that the applicant</w:t>
      </w:r>
      <w:r w:rsidRPr="00FD78E8" w:rsidR="00FD78E8">
        <w:t>’</w:t>
      </w:r>
      <w:r w:rsidRPr="00FD78E8">
        <w:t>s claim was excessive and asked the Court to rule that the finding of a violation constituted in itself sufficient just satisfaction.</w:t>
      </w:r>
    </w:p>
    <w:p w:rsidRPr="00FD78E8" w:rsidR="00705E5A" w:rsidP="00FD78E8" w:rsidRDefault="00705E5A">
      <w:pPr>
        <w:pStyle w:val="JuPara"/>
      </w:pPr>
      <w:r w:rsidRPr="00FD78E8">
        <w:t>40.  In the circumstances of this particular case and deciding on an equitable basis, the Court awards the applicant EUR 6,000 in respect of non-pecuniary damage.</w:t>
      </w:r>
    </w:p>
    <w:p w:rsidRPr="00FD78E8" w:rsidR="00705E5A" w:rsidP="00FD78E8" w:rsidRDefault="00705E5A">
      <w:pPr>
        <w:pStyle w:val="JuHA"/>
      </w:pPr>
      <w:r w:rsidRPr="00FD78E8">
        <w:t>Costs and expenses</w:t>
      </w:r>
    </w:p>
    <w:p w:rsidRPr="00FD78E8" w:rsidR="00705E5A" w:rsidP="00FD78E8" w:rsidRDefault="00705E5A">
      <w:pPr>
        <w:pStyle w:val="JuPara"/>
      </w:pPr>
      <w:r w:rsidRPr="00FD78E8">
        <w:t xml:space="preserve">41.  The </w:t>
      </w:r>
      <w:r w:rsidRPr="00FD78E8">
        <w:rPr>
          <w:szCs w:val="24"/>
        </w:rPr>
        <w:t>applicant</w:t>
      </w:r>
      <w:r w:rsidRPr="00FD78E8">
        <w:t xml:space="preserve"> did not claim any costs and expenses. The Court is therefore not called upon to make any award under this head.</w:t>
      </w:r>
    </w:p>
    <w:p w:rsidRPr="00FD78E8" w:rsidR="00705E5A" w:rsidP="00FD78E8" w:rsidRDefault="00705E5A">
      <w:pPr>
        <w:pStyle w:val="JuHA"/>
      </w:pPr>
      <w:r w:rsidRPr="00FD78E8">
        <w:t>Default interest</w:t>
      </w:r>
    </w:p>
    <w:p w:rsidRPr="00FD78E8" w:rsidR="00705E5A" w:rsidP="00FD78E8" w:rsidRDefault="00705E5A">
      <w:pPr>
        <w:pStyle w:val="JuPara"/>
      </w:pPr>
      <w:r w:rsidRPr="00FD78E8">
        <w:t>42.  The Court considers it appropriate that the default interest rate should be based on the marginal lending rate of the European Central Bank, to which should be added three percentage points.</w:t>
      </w:r>
    </w:p>
    <w:p w:rsidRPr="00FD78E8" w:rsidR="00705E5A" w:rsidP="00FD78E8" w:rsidRDefault="00C07A62">
      <w:pPr>
        <w:pStyle w:val="JuHHead"/>
      </w:pPr>
      <w:r w:rsidRPr="00FD78E8">
        <w:t>FOR THESE REASONS, THE COURT</w:t>
      </w:r>
      <w:r w:rsidRPr="00FD78E8" w:rsidR="00705E5A">
        <w:t>, UNANIMOUSLY,</w:t>
      </w:r>
    </w:p>
    <w:p w:rsidRPr="00FD78E8" w:rsidR="00705E5A" w:rsidP="00FD78E8" w:rsidRDefault="00705E5A">
      <w:pPr>
        <w:pStyle w:val="JuList"/>
        <w:ind w:left="0" w:firstLine="0"/>
      </w:pPr>
      <w:r w:rsidRPr="00FD78E8">
        <w:rPr>
          <w:i/>
        </w:rPr>
        <w:t>Declares</w:t>
      </w:r>
      <w:r w:rsidRPr="00FD78E8" w:rsidR="00C07A62">
        <w:rPr>
          <w:i/>
        </w:rPr>
        <w:t xml:space="preserve"> </w:t>
      </w:r>
      <w:r w:rsidRPr="00FD78E8">
        <w:t>the application admissible;</w:t>
      </w:r>
    </w:p>
    <w:p w:rsidRPr="00FD78E8" w:rsidR="00705E5A" w:rsidP="00FD78E8" w:rsidRDefault="00705E5A">
      <w:pPr>
        <w:pStyle w:val="JuList"/>
      </w:pPr>
      <w:r w:rsidRPr="00FD78E8">
        <w:rPr>
          <w:i/>
        </w:rPr>
        <w:t>Holds</w:t>
      </w:r>
      <w:r w:rsidRPr="00FD78E8">
        <w:rPr>
          <w:color w:val="000000"/>
        </w:rPr>
        <w:t xml:space="preserve"> </w:t>
      </w:r>
      <w:r w:rsidRPr="00FD78E8">
        <w:t>that there has been a violation of Article 8 of the Convention;</w:t>
      </w:r>
    </w:p>
    <w:p w:rsidRPr="00FD78E8" w:rsidR="00705E5A" w:rsidP="00FD78E8" w:rsidRDefault="00705E5A">
      <w:pPr>
        <w:pStyle w:val="JuList"/>
      </w:pPr>
      <w:r w:rsidRPr="00FD78E8">
        <w:rPr>
          <w:i/>
        </w:rPr>
        <w:t>Holds</w:t>
      </w:r>
    </w:p>
    <w:p w:rsidRPr="00FD78E8" w:rsidR="00705E5A" w:rsidP="00FD78E8" w:rsidRDefault="00705E5A">
      <w:pPr>
        <w:pStyle w:val="JuLista"/>
      </w:pPr>
      <w:r w:rsidRPr="00FD78E8">
        <w:t xml:space="preserve">that the respondent State is to pay the </w:t>
      </w:r>
      <w:r w:rsidRPr="00FD78E8">
        <w:rPr>
          <w:szCs w:val="24"/>
        </w:rPr>
        <w:t>applicant</w:t>
      </w:r>
      <w:r w:rsidRPr="00FD78E8">
        <w:t>, within three months from the date on which the judgment becomes f</w:t>
      </w:r>
      <w:r w:rsidRPr="00FD78E8" w:rsidR="00C07A62">
        <w:t xml:space="preserve">inal in accordance with Article </w:t>
      </w:r>
      <w:r w:rsidRPr="00FD78E8">
        <w:t>44</w:t>
      </w:r>
      <w:r w:rsidRPr="00FD78E8" w:rsidR="00C07A62">
        <w:t xml:space="preserve"> § </w:t>
      </w:r>
      <w:r w:rsidRPr="00FD78E8">
        <w:t xml:space="preserve">2 of the Convention, EUR 6,000 (six thousand euros), to be converted into </w:t>
      </w:r>
      <w:r w:rsidRPr="00FD78E8">
        <w:rPr>
          <w:color w:val="000000"/>
        </w:rPr>
        <w:t>the currency of the respondent State</w:t>
      </w:r>
      <w:r w:rsidRPr="00FD78E8">
        <w:t xml:space="preserve"> at the rate applicable at the date of settlement, in respect of </w:t>
      </w:r>
      <w:r w:rsidRPr="00FD78E8" w:rsidR="001E138B">
        <w:br/>
        <w:t>non-</w:t>
      </w:r>
      <w:r w:rsidRPr="00FD78E8">
        <w:t>pecuniary damage;</w:t>
      </w:r>
    </w:p>
    <w:p w:rsidRPr="00FD78E8" w:rsidR="00705E5A" w:rsidP="00FD78E8" w:rsidRDefault="00705E5A">
      <w:pPr>
        <w:pStyle w:val="JuLista"/>
      </w:pPr>
      <w:r w:rsidRPr="00FD78E8">
        <w:t>that from the expiry of the above-mentioned three months until settlement simple interest shall be payable on the above amount at a rate equal to the marginal lending rate of the European Central Bank during the default period plus three percentage points;</w:t>
      </w:r>
    </w:p>
    <w:p w:rsidRPr="00FD78E8" w:rsidR="004D0EC7" w:rsidP="00FD78E8" w:rsidRDefault="00705E5A">
      <w:pPr>
        <w:pStyle w:val="JuList"/>
      </w:pPr>
      <w:r w:rsidRPr="00FD78E8">
        <w:rPr>
          <w:i/>
        </w:rPr>
        <w:t>Dismisses</w:t>
      </w:r>
      <w:r w:rsidRPr="00FD78E8">
        <w:rPr>
          <w:color w:val="000000"/>
        </w:rPr>
        <w:t xml:space="preserve"> </w:t>
      </w:r>
      <w:r w:rsidRPr="00FD78E8">
        <w:t xml:space="preserve">the remainder of the </w:t>
      </w:r>
      <w:r w:rsidRPr="00FD78E8">
        <w:rPr>
          <w:szCs w:val="24"/>
        </w:rPr>
        <w:t>applicant</w:t>
      </w:r>
      <w:r w:rsidRPr="00FD78E8" w:rsidR="00FD78E8">
        <w:rPr>
          <w:szCs w:val="24"/>
        </w:rPr>
        <w:t>’</w:t>
      </w:r>
      <w:r w:rsidRPr="00FD78E8" w:rsidR="00EB070B">
        <w:rPr>
          <w:szCs w:val="24"/>
        </w:rPr>
        <w:t>s</w:t>
      </w:r>
      <w:r w:rsidRPr="00FD78E8">
        <w:t xml:space="preserve"> claim for just satisfaction.</w:t>
      </w:r>
    </w:p>
    <w:p w:rsidRPr="00FD78E8" w:rsidR="008E3A08" w:rsidP="00FD78E8" w:rsidRDefault="007E2C8C">
      <w:pPr>
        <w:pStyle w:val="JuParaLast"/>
      </w:pPr>
      <w:r w:rsidRPr="00FD78E8">
        <w:t xml:space="preserve">Done in English, and notified in writing on </w:t>
      </w:r>
      <w:r w:rsidRPr="00FD78E8" w:rsidR="00705E5A">
        <w:rPr>
          <w:rFonts w:ascii="Times New Roman" w:hAnsi="Times New Roman" w:cs="Times New Roman"/>
        </w:rPr>
        <w:t>8 October 2019</w:t>
      </w:r>
      <w:r w:rsidRPr="00FD78E8">
        <w:t>, pursuant to Rule 77 §§ 2 and 3 of the Rules of Court.</w:t>
      </w:r>
    </w:p>
    <w:p w:rsidRPr="00FD78E8" w:rsidR="002A613A" w:rsidP="00FD78E8" w:rsidRDefault="00C07A62">
      <w:pPr>
        <w:pStyle w:val="JuSigned"/>
      </w:pPr>
      <w:r w:rsidRPr="00FD78E8">
        <w:t>Andrea Tamietti</w:t>
      </w:r>
      <w:r w:rsidRPr="00FD78E8" w:rsidR="005879A2">
        <w:t xml:space="preserve"> </w:t>
      </w:r>
      <w:r w:rsidRPr="00FD78E8" w:rsidR="009F4C8F">
        <w:tab/>
      </w:r>
      <w:r w:rsidRPr="00FD78E8" w:rsidR="00705E5A">
        <w:rPr>
          <w:szCs w:val="24"/>
        </w:rPr>
        <w:t xml:space="preserve">Jon </w:t>
      </w:r>
      <w:proofErr w:type="spellStart"/>
      <w:r w:rsidRPr="00FD78E8" w:rsidR="00705E5A">
        <w:rPr>
          <w:szCs w:val="24"/>
        </w:rPr>
        <w:t>Fridrik</w:t>
      </w:r>
      <w:proofErr w:type="spellEnd"/>
      <w:r w:rsidRPr="00FD78E8" w:rsidR="00705E5A">
        <w:rPr>
          <w:szCs w:val="24"/>
        </w:rPr>
        <w:t xml:space="preserve"> </w:t>
      </w:r>
      <w:proofErr w:type="spellStart"/>
      <w:r w:rsidRPr="00FD78E8" w:rsidR="00705E5A">
        <w:rPr>
          <w:szCs w:val="24"/>
        </w:rPr>
        <w:t>Kjølbro</w:t>
      </w:r>
      <w:proofErr w:type="spellEnd"/>
      <w:r w:rsidRPr="00FD78E8" w:rsidR="009F4C8F">
        <w:rPr>
          <w:szCs w:val="24"/>
        </w:rPr>
        <w:br/>
      </w:r>
      <w:r w:rsidRPr="00FD78E8" w:rsidR="009F4C8F">
        <w:tab/>
      </w:r>
      <w:r w:rsidRPr="00FD78E8">
        <w:t xml:space="preserve">Deputy </w:t>
      </w:r>
      <w:r w:rsidRPr="00FD78E8" w:rsidR="00705E5A">
        <w:rPr>
          <w:iCs/>
        </w:rPr>
        <w:t>Registrar</w:t>
      </w:r>
      <w:r w:rsidRPr="00FD78E8" w:rsidR="009F4C8F">
        <w:tab/>
        <w:t>President</w:t>
      </w:r>
    </w:p>
    <w:p w:rsidRPr="00FD78E8" w:rsidR="00220E3C" w:rsidP="00FD78E8" w:rsidRDefault="00220E3C">
      <w:pPr>
        <w:pStyle w:val="JuPara"/>
      </w:pPr>
    </w:p>
    <w:sectPr w:rsidRPr="00FD78E8" w:rsidR="00220E3C" w:rsidSect="000B7195">
      <w:headerReference w:type="even" r:id="rId14"/>
      <w:headerReference w:type="default" r:id="rId15"/>
      <w:footerReference w:type="even" r:id="rId16"/>
      <w:footerReference w:type="default" r:id="rId17"/>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E5A" w:rsidRPr="00085457" w:rsidRDefault="00705E5A" w:rsidP="0098410D">
      <w:r w:rsidRPr="00085457">
        <w:separator/>
      </w:r>
    </w:p>
  </w:endnote>
  <w:endnote w:type="continuationSeparator" w:id="0">
    <w:p w:rsidR="00705E5A" w:rsidRPr="00085457" w:rsidRDefault="00705E5A" w:rsidP="0098410D">
      <w:r w:rsidRPr="000854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Default="00705E5A">
    <w:pPr>
      <w:pStyle w:val="Foo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Pr="00150BFA" w:rsidRDefault="00705E5A" w:rsidP="0020718E">
    <w:pPr>
      <w:jc w:val="center"/>
    </w:pPr>
    <w:r>
      <w:rPr>
        <w:noProof/>
        <w:lang w:val="en-US" w:eastAsia="ja-JP"/>
      </w:rPr>
      <w:drawing>
        <wp:inline distT="0" distB="0" distL="0" distR="0" wp14:anchorId="1247A62C" wp14:editId="61BEA453">
          <wp:extent cx="771525" cy="619125"/>
          <wp:effectExtent l="0" t="0" r="9525" b="9525"/>
          <wp:docPr id="30" name="Picture 30"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085457" w:rsidRDefault="0098410D" w:rsidP="00AF12C5">
    <w:pPr>
      <w:pStyle w:val="Footer0"/>
      <w:jc w:val="center"/>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Default="00705E5A">
    <w:pPr>
      <w:pStyle w:val="Footer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9367D9">
    <w:pPr>
      <w:pStyle w:val="Footer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9367D9" w:rsidP="00AF12C5">
    <w:pPr>
      <w:pStyle w:val="Foo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E5A" w:rsidRPr="00085457" w:rsidRDefault="00705E5A" w:rsidP="0098410D">
      <w:r w:rsidRPr="00085457">
        <w:separator/>
      </w:r>
    </w:p>
  </w:footnote>
  <w:footnote w:type="continuationSeparator" w:id="0">
    <w:p w:rsidR="00705E5A" w:rsidRPr="00085457" w:rsidRDefault="00705E5A" w:rsidP="0098410D">
      <w:r w:rsidRPr="0008545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Default="00705E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Pr="00A45145" w:rsidRDefault="00705E5A" w:rsidP="00A45145">
    <w:pPr>
      <w:jc w:val="center"/>
    </w:pPr>
    <w:r>
      <w:rPr>
        <w:noProof/>
        <w:lang w:val="en-US" w:eastAsia="ja-JP"/>
      </w:rPr>
      <w:drawing>
        <wp:inline distT="0" distB="0" distL="0" distR="0" wp14:anchorId="20FFDF02" wp14:editId="131B1D81">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rsidP="00B14793">
    <w:pPr>
      <w:jc w:val="center"/>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E5A" w:rsidRPr="00A45145" w:rsidRDefault="00705E5A" w:rsidP="00A45145">
    <w:pPr>
      <w:jc w:val="center"/>
    </w:pPr>
    <w:r>
      <w:rPr>
        <w:noProof/>
        <w:lang w:val="en-US" w:eastAsia="ja-JP"/>
      </w:rPr>
      <w:drawing>
        <wp:inline distT="0" distB="0" distL="0" distR="0" wp14:anchorId="69B2E2C9" wp14:editId="0EB322AC">
          <wp:extent cx="2962275" cy="1219200"/>
          <wp:effectExtent l="0" t="0" r="9525" b="0"/>
          <wp:docPr id="27" name="Picture 27"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705E5A" w:rsidP="004D0EC7">
    <w:pPr>
      <w:pStyle w:val="JuHeader"/>
    </w:pPr>
    <w:r>
      <w:rPr>
        <w:rStyle w:val="PageNumber"/>
      </w:rPr>
      <w:fldChar w:fldCharType="begin"/>
    </w:r>
    <w:r>
      <w:rPr>
        <w:rStyle w:val="PageNumber"/>
      </w:rPr>
      <w:instrText xml:space="preserve"> PAGE </w:instrText>
    </w:r>
    <w:r>
      <w:rPr>
        <w:rStyle w:val="PageNumber"/>
      </w:rPr>
      <w:fldChar w:fldCharType="separate"/>
    </w:r>
    <w:r w:rsidR="00FD78E8">
      <w:rPr>
        <w:rStyle w:val="PageNumber"/>
        <w:noProof/>
      </w:rPr>
      <w:t>8</w:t>
    </w:r>
    <w:r>
      <w:rPr>
        <w:rStyle w:val="PageNumber"/>
      </w:rPr>
      <w:fldChar w:fldCharType="end"/>
    </w:r>
    <w:r w:rsidR="00882CD5" w:rsidRPr="004D0EC7">
      <w:tab/>
    </w:r>
    <w:r>
      <w:t>SOLCAN v. ROMANIA</w:t>
    </w:r>
    <w:r w:rsidR="00882CD5" w:rsidRPr="004D0EC7">
      <w:t xml:space="preserve"> </w:t>
    </w:r>
    <w:r w:rsidR="008E3A08">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JuHeader"/>
    </w:pPr>
    <w:r w:rsidRPr="00882CD5">
      <w:tab/>
    </w:r>
    <w:r w:rsidR="00705E5A">
      <w:t>SOLCAN v. ROMANIA</w:t>
    </w:r>
    <w:r w:rsidRPr="00882CD5">
      <w:t xml:space="preserve"> JUDGMENT</w:t>
    </w:r>
    <w:r w:rsidRPr="00882CD5">
      <w:tab/>
    </w:r>
    <w:r w:rsidR="00705E5A">
      <w:rPr>
        <w:rStyle w:val="PageNumber"/>
      </w:rPr>
      <w:fldChar w:fldCharType="begin"/>
    </w:r>
    <w:r w:rsidR="00705E5A">
      <w:rPr>
        <w:rStyle w:val="PageNumber"/>
      </w:rPr>
      <w:instrText xml:space="preserve"> PAGE </w:instrText>
    </w:r>
    <w:r w:rsidR="00705E5A">
      <w:rPr>
        <w:rStyle w:val="PageNumber"/>
      </w:rPr>
      <w:fldChar w:fldCharType="separate"/>
    </w:r>
    <w:r w:rsidR="00FD78E8">
      <w:rPr>
        <w:rStyle w:val="PageNumber"/>
        <w:noProof/>
      </w:rPr>
      <w:t>9</w:t>
    </w:r>
    <w:r w:rsidR="00705E5A">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163F153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7D5546B"/>
    <w:multiLevelType w:val="multilevel"/>
    <w:tmpl w:val="BD4225D2"/>
    <w:styleLink w:val="ECHRA1StyleList"/>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85E6A40"/>
    <w:multiLevelType w:val="multilevel"/>
    <w:tmpl w:val="84A2DB16"/>
    <w:lvl w:ilvl="0">
      <w:start w:val="1"/>
      <w:numFmt w:val="decimal"/>
      <w:pStyle w:val="JuList"/>
      <w:lvlText w:val="%1."/>
      <w:lvlJc w:val="left"/>
      <w:pPr>
        <w:tabs>
          <w:tab w:val="num" w:pos="340"/>
        </w:tabs>
        <w:ind w:left="340" w:hanging="340"/>
      </w:pPr>
      <w:rPr>
        <w:rFonts w:hint="default"/>
      </w:rPr>
    </w:lvl>
    <w:lvl w:ilvl="1">
      <w:start w:val="1"/>
      <w:numFmt w:val="lowerLetter"/>
      <w:pStyle w:val="JuLista"/>
      <w:lvlText w:val="(%2)"/>
      <w:lvlJc w:val="left"/>
      <w:pPr>
        <w:tabs>
          <w:tab w:val="num" w:pos="680"/>
        </w:tabs>
        <w:ind w:left="680" w:hanging="340"/>
      </w:pPr>
      <w:rPr>
        <w:rFonts w:hint="default"/>
      </w:rPr>
    </w:lvl>
    <w:lvl w:ilvl="2">
      <w:start w:val="1"/>
      <w:numFmt w:val="lowerRoman"/>
      <w:pStyle w:val="JuListi"/>
      <w:lvlText w:val="(%3)"/>
      <w:lvlJc w:val="left"/>
      <w:pPr>
        <w:tabs>
          <w:tab w:val="num" w:pos="1134"/>
        </w:tabs>
        <w:ind w:left="1134" w:hanging="45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none"/>
      <w:lvlText w:val=""/>
      <w:lvlJc w:val="left"/>
      <w:pPr>
        <w:ind w:left="2517" w:hanging="345"/>
      </w:pPr>
      <w:rPr>
        <w:rFonts w:ascii="Symbol" w:hAnsi="Symbol" w:hint="default"/>
        <w:sz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89571C"/>
    <w:multiLevelType w:val="multilevel"/>
    <w:tmpl w:val="F842BC8C"/>
    <w:styleLink w:val="ECHRA1StyleBulletedSquare"/>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abstractNum w:abstractNumId="16">
    <w:nsid w:val="5032512D"/>
    <w:multiLevelType w:val="multilevel"/>
    <w:tmpl w:val="9B34AC6C"/>
    <w:styleLink w:val="ECHRA1StyleNumberedList"/>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7">
    <w:nsid w:val="56B9429C"/>
    <w:multiLevelType w:val="multilevel"/>
    <w:tmpl w:val="B7886602"/>
    <w:lvl w:ilvl="0">
      <w:start w:val="1"/>
      <w:numFmt w:val="none"/>
      <w:pStyle w:val="JuHHead"/>
      <w:suff w:val="nothing"/>
      <w:lvlText w:val=""/>
      <w:lvlJc w:val="left"/>
      <w:pPr>
        <w:ind w:left="0" w:firstLine="0"/>
      </w:pPr>
      <w:rPr>
        <w:rFonts w:hint="default"/>
      </w:rPr>
    </w:lvl>
    <w:lvl w:ilvl="1">
      <w:start w:val="1"/>
      <w:numFmt w:val="upperRoman"/>
      <w:pStyle w:val="JuHIRoman"/>
      <w:suff w:val="space"/>
      <w:lvlText w:val="%2."/>
      <w:lvlJc w:val="left"/>
      <w:pPr>
        <w:ind w:left="357" w:hanging="357"/>
      </w:pPr>
      <w:rPr>
        <w:rFonts w:hint="default"/>
        <w:sz w:val="24"/>
      </w:rPr>
    </w:lvl>
    <w:lvl w:ilvl="2">
      <w:start w:val="1"/>
      <w:numFmt w:val="upperLetter"/>
      <w:pStyle w:val="JuHA"/>
      <w:lvlText w:val="%3."/>
      <w:lvlJc w:val="left"/>
      <w:pPr>
        <w:ind w:left="584" w:hanging="352"/>
      </w:pPr>
      <w:rPr>
        <w:rFonts w:hint="default"/>
      </w:rPr>
    </w:lvl>
    <w:lvl w:ilvl="3">
      <w:start w:val="1"/>
      <w:numFmt w:val="decimal"/>
      <w:pStyle w:val="JuH1"/>
      <w:lvlText w:val="%4."/>
      <w:lvlJc w:val="left"/>
      <w:pPr>
        <w:ind w:left="731" w:hanging="300"/>
      </w:pPr>
      <w:rPr>
        <w:rFonts w:hint="default"/>
      </w:rPr>
    </w:lvl>
    <w:lvl w:ilvl="4">
      <w:start w:val="1"/>
      <w:numFmt w:val="lowerLetter"/>
      <w:pStyle w:val="JuHa0"/>
      <w:lvlText w:val="(%5)"/>
      <w:lvlJc w:val="left"/>
      <w:pPr>
        <w:ind w:left="975" w:hanging="340"/>
      </w:pPr>
      <w:rPr>
        <w:rFonts w:hint="default"/>
      </w:rPr>
    </w:lvl>
    <w:lvl w:ilvl="5">
      <w:start w:val="1"/>
      <w:numFmt w:val="lowerRoman"/>
      <w:pStyle w:val="JuHi"/>
      <w:suff w:val="space"/>
      <w:lvlText w:val="(%6)"/>
      <w:lvlJc w:val="left"/>
      <w:pPr>
        <w:ind w:left="1191" w:hanging="358"/>
      </w:pPr>
      <w:rPr>
        <w:rFonts w:hint="default"/>
      </w:rPr>
    </w:lvl>
    <w:lvl w:ilvl="6">
      <w:start w:val="1"/>
      <w:numFmt w:val="lowerLetter"/>
      <w:pStyle w:val="JuHalpha"/>
      <w:lvlText w:val="(%7)"/>
      <w:lvlJc w:val="left"/>
      <w:pPr>
        <w:ind w:left="1372" w:hanging="334"/>
      </w:pPr>
      <w:rPr>
        <w:rFonts w:ascii="Symbol" w:hAnsi="Symbol" w:hint="default"/>
        <w:sz w:val="20"/>
      </w:rPr>
    </w:lvl>
    <w:lvl w:ilvl="7">
      <w:start w:val="1"/>
      <w:numFmt w:val="bullet"/>
      <w:pStyle w:val="JuH"/>
      <w:lvlText w:val="‒"/>
      <w:lvlJc w:val="left"/>
      <w:pPr>
        <w:ind w:left="1304" w:hanging="68"/>
      </w:pPr>
      <w:rPr>
        <w:rFonts w:ascii="Calibri" w:hAnsi="Calibri" w:hint="default"/>
        <w:color w:val="auto"/>
      </w:rPr>
    </w:lvl>
    <w:lvl w:ilvl="8">
      <w:start w:val="1"/>
      <w:numFmt w:val="none"/>
      <w:lvlText w:val="%9"/>
      <w:lvlJc w:val="right"/>
      <w:pPr>
        <w:ind w:left="7313" w:hanging="180"/>
      </w:pPr>
      <w:rPr>
        <w:rFonts w:hint="default"/>
      </w:rPr>
    </w:lvl>
  </w:abstractNum>
  <w:abstractNum w:abstractNumId="18">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17"/>
  </w:num>
  <w:num w:numId="2">
    <w:abstractNumId w:val="13"/>
  </w:num>
  <w:num w:numId="3">
    <w:abstractNumId w:val="14"/>
  </w:num>
  <w:num w:numId="4">
    <w:abstractNumId w:val="11"/>
  </w:num>
  <w:num w:numId="5">
    <w:abstractNumId w:val="10"/>
  </w:num>
  <w:num w:numId="6">
    <w:abstractNumId w:val="15"/>
  </w:num>
  <w:num w:numId="7">
    <w:abstractNumId w:val="12"/>
  </w:num>
  <w:num w:numId="8">
    <w:abstractNumId w:val="16"/>
  </w:num>
  <w:num w:numId="9">
    <w:abstractNumId w:val="18"/>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1"/>
    <w:docVar w:name="EMM" w:val="0"/>
    <w:docVar w:name="NBEMMDOC" w:val="0"/>
  </w:docVars>
  <w:rsids>
    <w:rsidRoot w:val="00705E5A"/>
    <w:rsid w:val="000041F8"/>
    <w:rsid w:val="000042A8"/>
    <w:rsid w:val="00004308"/>
    <w:rsid w:val="00005BF0"/>
    <w:rsid w:val="00007154"/>
    <w:rsid w:val="000103AE"/>
    <w:rsid w:val="00011D69"/>
    <w:rsid w:val="00012AD3"/>
    <w:rsid w:val="00015C2D"/>
    <w:rsid w:val="00015F00"/>
    <w:rsid w:val="00022C1D"/>
    <w:rsid w:val="00034987"/>
    <w:rsid w:val="00041560"/>
    <w:rsid w:val="000602DF"/>
    <w:rsid w:val="00061B05"/>
    <w:rsid w:val="000632D5"/>
    <w:rsid w:val="000644EE"/>
    <w:rsid w:val="00085457"/>
    <w:rsid w:val="000925AD"/>
    <w:rsid w:val="00096FE1"/>
    <w:rsid w:val="00097A62"/>
    <w:rsid w:val="000A24EB"/>
    <w:rsid w:val="000B686A"/>
    <w:rsid w:val="000B6923"/>
    <w:rsid w:val="000B7195"/>
    <w:rsid w:val="000C5F3C"/>
    <w:rsid w:val="000C6DCC"/>
    <w:rsid w:val="000D47AA"/>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561B6"/>
    <w:rsid w:val="00162A12"/>
    <w:rsid w:val="00166530"/>
    <w:rsid w:val="00170027"/>
    <w:rsid w:val="001832BD"/>
    <w:rsid w:val="001943B5"/>
    <w:rsid w:val="00195134"/>
    <w:rsid w:val="001A145B"/>
    <w:rsid w:val="001A674C"/>
    <w:rsid w:val="001B3B24"/>
    <w:rsid w:val="001C055B"/>
    <w:rsid w:val="001C0F98"/>
    <w:rsid w:val="001C2A42"/>
    <w:rsid w:val="001D63ED"/>
    <w:rsid w:val="001D7348"/>
    <w:rsid w:val="001E035B"/>
    <w:rsid w:val="001E0961"/>
    <w:rsid w:val="001E138B"/>
    <w:rsid w:val="001E3EAE"/>
    <w:rsid w:val="001E6857"/>
    <w:rsid w:val="001E6F32"/>
    <w:rsid w:val="001F2145"/>
    <w:rsid w:val="001F6262"/>
    <w:rsid w:val="001F67B0"/>
    <w:rsid w:val="001F7B3D"/>
    <w:rsid w:val="0020335A"/>
    <w:rsid w:val="002052BC"/>
    <w:rsid w:val="00205F9F"/>
    <w:rsid w:val="00210338"/>
    <w:rsid w:val="002115FC"/>
    <w:rsid w:val="0021423C"/>
    <w:rsid w:val="00220E3C"/>
    <w:rsid w:val="00230D00"/>
    <w:rsid w:val="00231DF7"/>
    <w:rsid w:val="00231FD1"/>
    <w:rsid w:val="002339E0"/>
    <w:rsid w:val="00233CF8"/>
    <w:rsid w:val="0023575D"/>
    <w:rsid w:val="00237148"/>
    <w:rsid w:val="0024222D"/>
    <w:rsid w:val="002422B6"/>
    <w:rsid w:val="00244B0E"/>
    <w:rsid w:val="00244F6C"/>
    <w:rsid w:val="00246B89"/>
    <w:rsid w:val="00252C4E"/>
    <w:rsid w:val="002532C5"/>
    <w:rsid w:val="00254DF2"/>
    <w:rsid w:val="00260C03"/>
    <w:rsid w:val="0026540E"/>
    <w:rsid w:val="00275123"/>
    <w:rsid w:val="00282240"/>
    <w:rsid w:val="00287AD5"/>
    <w:rsid w:val="002934D0"/>
    <w:rsid w:val="00293676"/>
    <w:rsid w:val="002948AD"/>
    <w:rsid w:val="002A01CC"/>
    <w:rsid w:val="002A613A"/>
    <w:rsid w:val="002A61B1"/>
    <w:rsid w:val="002A663C"/>
    <w:rsid w:val="002A681C"/>
    <w:rsid w:val="002B444B"/>
    <w:rsid w:val="002B5887"/>
    <w:rsid w:val="002C0E27"/>
    <w:rsid w:val="002C3040"/>
    <w:rsid w:val="002C4433"/>
    <w:rsid w:val="002C7826"/>
    <w:rsid w:val="002D022D"/>
    <w:rsid w:val="002D24BB"/>
    <w:rsid w:val="002D2FA7"/>
    <w:rsid w:val="002D47BA"/>
    <w:rsid w:val="002D77B9"/>
    <w:rsid w:val="002E46DA"/>
    <w:rsid w:val="002F2AF7"/>
    <w:rsid w:val="002F69C4"/>
    <w:rsid w:val="002F7D9E"/>
    <w:rsid w:val="002F7E1C"/>
    <w:rsid w:val="00301A75"/>
    <w:rsid w:val="00302F70"/>
    <w:rsid w:val="0030336F"/>
    <w:rsid w:val="0030375E"/>
    <w:rsid w:val="00307D9E"/>
    <w:rsid w:val="00312A30"/>
    <w:rsid w:val="00320F72"/>
    <w:rsid w:val="0032463E"/>
    <w:rsid w:val="00326224"/>
    <w:rsid w:val="00337EE4"/>
    <w:rsid w:val="00340FFD"/>
    <w:rsid w:val="00345C41"/>
    <w:rsid w:val="003506B1"/>
    <w:rsid w:val="00355877"/>
    <w:rsid w:val="00356AC7"/>
    <w:rsid w:val="003609FA"/>
    <w:rsid w:val="003710C8"/>
    <w:rsid w:val="003750BE"/>
    <w:rsid w:val="00385A36"/>
    <w:rsid w:val="00385F3D"/>
    <w:rsid w:val="00387B9D"/>
    <w:rsid w:val="00390294"/>
    <w:rsid w:val="0039364F"/>
    <w:rsid w:val="00396686"/>
    <w:rsid w:val="0039778E"/>
    <w:rsid w:val="003B4941"/>
    <w:rsid w:val="003C5714"/>
    <w:rsid w:val="003C6B9F"/>
    <w:rsid w:val="003C6E2A"/>
    <w:rsid w:val="003D0299"/>
    <w:rsid w:val="003E6D80"/>
    <w:rsid w:val="003F05FA"/>
    <w:rsid w:val="003F244A"/>
    <w:rsid w:val="003F2517"/>
    <w:rsid w:val="003F30B8"/>
    <w:rsid w:val="003F4C45"/>
    <w:rsid w:val="003F5F7B"/>
    <w:rsid w:val="003F7D64"/>
    <w:rsid w:val="0040433A"/>
    <w:rsid w:val="00414300"/>
    <w:rsid w:val="00414F27"/>
    <w:rsid w:val="00420703"/>
    <w:rsid w:val="00425C67"/>
    <w:rsid w:val="00427E7A"/>
    <w:rsid w:val="004355AC"/>
    <w:rsid w:val="00436C49"/>
    <w:rsid w:val="00443D98"/>
    <w:rsid w:val="00445366"/>
    <w:rsid w:val="00447F5B"/>
    <w:rsid w:val="00461DB0"/>
    <w:rsid w:val="00463926"/>
    <w:rsid w:val="00464C9A"/>
    <w:rsid w:val="00474F3D"/>
    <w:rsid w:val="00477E3A"/>
    <w:rsid w:val="00483E5F"/>
    <w:rsid w:val="00485FF9"/>
    <w:rsid w:val="004907F0"/>
    <w:rsid w:val="0049140B"/>
    <w:rsid w:val="004923A5"/>
    <w:rsid w:val="0049310E"/>
    <w:rsid w:val="00496BFB"/>
    <w:rsid w:val="004A15C7"/>
    <w:rsid w:val="004B013B"/>
    <w:rsid w:val="004B112B"/>
    <w:rsid w:val="004B444E"/>
    <w:rsid w:val="004C01E4"/>
    <w:rsid w:val="004C086C"/>
    <w:rsid w:val="004C1F56"/>
    <w:rsid w:val="004C27BC"/>
    <w:rsid w:val="004C6621"/>
    <w:rsid w:val="004D0EC7"/>
    <w:rsid w:val="004D15F3"/>
    <w:rsid w:val="004D4EF1"/>
    <w:rsid w:val="004D5311"/>
    <w:rsid w:val="004D5DCC"/>
    <w:rsid w:val="004D7E45"/>
    <w:rsid w:val="004F10AF"/>
    <w:rsid w:val="004F11A4"/>
    <w:rsid w:val="004F2389"/>
    <w:rsid w:val="004F304D"/>
    <w:rsid w:val="004F61BE"/>
    <w:rsid w:val="004F66B1"/>
    <w:rsid w:val="00511C07"/>
    <w:rsid w:val="005125CB"/>
    <w:rsid w:val="00512EC4"/>
    <w:rsid w:val="0051725A"/>
    <w:rsid w:val="005173A6"/>
    <w:rsid w:val="00520354"/>
    <w:rsid w:val="00520BAA"/>
    <w:rsid w:val="005217D8"/>
    <w:rsid w:val="00525208"/>
    <w:rsid w:val="005257A5"/>
    <w:rsid w:val="005264C0"/>
    <w:rsid w:val="00526A8A"/>
    <w:rsid w:val="00530FE6"/>
    <w:rsid w:val="00531DF2"/>
    <w:rsid w:val="0053315C"/>
    <w:rsid w:val="00537476"/>
    <w:rsid w:val="0054217A"/>
    <w:rsid w:val="005442EE"/>
    <w:rsid w:val="00545DA6"/>
    <w:rsid w:val="00547353"/>
    <w:rsid w:val="005474E7"/>
    <w:rsid w:val="005512A3"/>
    <w:rsid w:val="005578CE"/>
    <w:rsid w:val="00562781"/>
    <w:rsid w:val="00562B6C"/>
    <w:rsid w:val="0057271C"/>
    <w:rsid w:val="00572845"/>
    <w:rsid w:val="005879A2"/>
    <w:rsid w:val="00592772"/>
    <w:rsid w:val="0059574A"/>
    <w:rsid w:val="005A1B9B"/>
    <w:rsid w:val="005A2E79"/>
    <w:rsid w:val="005A6751"/>
    <w:rsid w:val="005B092E"/>
    <w:rsid w:val="005B152C"/>
    <w:rsid w:val="005B1EE0"/>
    <w:rsid w:val="005B2B24"/>
    <w:rsid w:val="005B4425"/>
    <w:rsid w:val="005B4B94"/>
    <w:rsid w:val="005C3EE8"/>
    <w:rsid w:val="005D34F9"/>
    <w:rsid w:val="005D4190"/>
    <w:rsid w:val="005D67A3"/>
    <w:rsid w:val="005E2988"/>
    <w:rsid w:val="005E3085"/>
    <w:rsid w:val="005F0A73"/>
    <w:rsid w:val="005F51E1"/>
    <w:rsid w:val="00611C80"/>
    <w:rsid w:val="00620692"/>
    <w:rsid w:val="006242CA"/>
    <w:rsid w:val="00627507"/>
    <w:rsid w:val="00633717"/>
    <w:rsid w:val="006344E1"/>
    <w:rsid w:val="00643524"/>
    <w:rsid w:val="0064393B"/>
    <w:rsid w:val="006545C4"/>
    <w:rsid w:val="00661971"/>
    <w:rsid w:val="00661CE8"/>
    <w:rsid w:val="006623D9"/>
    <w:rsid w:val="006642A5"/>
    <w:rsid w:val="0066550C"/>
    <w:rsid w:val="00665BD2"/>
    <w:rsid w:val="006716F2"/>
    <w:rsid w:val="00682BF2"/>
    <w:rsid w:val="0068573E"/>
    <w:rsid w:val="006859CE"/>
    <w:rsid w:val="00691270"/>
    <w:rsid w:val="00694BA8"/>
    <w:rsid w:val="006A037C"/>
    <w:rsid w:val="006A36F4"/>
    <w:rsid w:val="006A406F"/>
    <w:rsid w:val="006A5D3A"/>
    <w:rsid w:val="006C23D4"/>
    <w:rsid w:val="006C7BB0"/>
    <w:rsid w:val="006D3237"/>
    <w:rsid w:val="006E2E37"/>
    <w:rsid w:val="006E3CF1"/>
    <w:rsid w:val="006E7E80"/>
    <w:rsid w:val="006F48CA"/>
    <w:rsid w:val="006F64DD"/>
    <w:rsid w:val="006F712D"/>
    <w:rsid w:val="00705E5A"/>
    <w:rsid w:val="00715127"/>
    <w:rsid w:val="00715E8E"/>
    <w:rsid w:val="00723580"/>
    <w:rsid w:val="00723755"/>
    <w:rsid w:val="0073136C"/>
    <w:rsid w:val="00731F0F"/>
    <w:rsid w:val="00733250"/>
    <w:rsid w:val="00741404"/>
    <w:rsid w:val="007449E5"/>
    <w:rsid w:val="0074750E"/>
    <w:rsid w:val="00747FF0"/>
    <w:rsid w:val="00763602"/>
    <w:rsid w:val="00764D4E"/>
    <w:rsid w:val="00765A1F"/>
    <w:rsid w:val="00775B6D"/>
    <w:rsid w:val="00776D68"/>
    <w:rsid w:val="0078323E"/>
    <w:rsid w:val="007850EE"/>
    <w:rsid w:val="00785B95"/>
    <w:rsid w:val="00790E96"/>
    <w:rsid w:val="00793366"/>
    <w:rsid w:val="007A716F"/>
    <w:rsid w:val="007B270A"/>
    <w:rsid w:val="007B4182"/>
    <w:rsid w:val="007C0695"/>
    <w:rsid w:val="007C1107"/>
    <w:rsid w:val="007C419A"/>
    <w:rsid w:val="007C4CC8"/>
    <w:rsid w:val="007C5426"/>
    <w:rsid w:val="007C5798"/>
    <w:rsid w:val="007D1ECD"/>
    <w:rsid w:val="007D4832"/>
    <w:rsid w:val="007E21B2"/>
    <w:rsid w:val="007E2C4E"/>
    <w:rsid w:val="007E2C8C"/>
    <w:rsid w:val="007E51BA"/>
    <w:rsid w:val="007E73D7"/>
    <w:rsid w:val="007F1905"/>
    <w:rsid w:val="007F27E4"/>
    <w:rsid w:val="007F3437"/>
    <w:rsid w:val="00802C64"/>
    <w:rsid w:val="00805E52"/>
    <w:rsid w:val="008061D0"/>
    <w:rsid w:val="00810B38"/>
    <w:rsid w:val="008204C7"/>
    <w:rsid w:val="00820992"/>
    <w:rsid w:val="00823602"/>
    <w:rsid w:val="008255F5"/>
    <w:rsid w:val="0083014E"/>
    <w:rsid w:val="0083214A"/>
    <w:rsid w:val="00834220"/>
    <w:rsid w:val="00845723"/>
    <w:rsid w:val="008519E7"/>
    <w:rsid w:val="00851EF9"/>
    <w:rsid w:val="008577FD"/>
    <w:rsid w:val="00860B03"/>
    <w:rsid w:val="0086497A"/>
    <w:rsid w:val="00867066"/>
    <w:rsid w:val="008713A1"/>
    <w:rsid w:val="00872584"/>
    <w:rsid w:val="008754AB"/>
    <w:rsid w:val="0088060C"/>
    <w:rsid w:val="00882CD5"/>
    <w:rsid w:val="00883151"/>
    <w:rsid w:val="00893576"/>
    <w:rsid w:val="00893E73"/>
    <w:rsid w:val="008A3064"/>
    <w:rsid w:val="008B02DC"/>
    <w:rsid w:val="008B57CE"/>
    <w:rsid w:val="008C26DE"/>
    <w:rsid w:val="008D2225"/>
    <w:rsid w:val="008D4752"/>
    <w:rsid w:val="008D5A13"/>
    <w:rsid w:val="008E271C"/>
    <w:rsid w:val="008E3A08"/>
    <w:rsid w:val="008E418E"/>
    <w:rsid w:val="008E5BC6"/>
    <w:rsid w:val="008E6217"/>
    <w:rsid w:val="008E6A25"/>
    <w:rsid w:val="008F2554"/>
    <w:rsid w:val="008F3AEC"/>
    <w:rsid w:val="008F4D80"/>
    <w:rsid w:val="008F5193"/>
    <w:rsid w:val="008F6B36"/>
    <w:rsid w:val="009013A7"/>
    <w:rsid w:val="009017FB"/>
    <w:rsid w:val="009017FC"/>
    <w:rsid w:val="0090506B"/>
    <w:rsid w:val="009050C9"/>
    <w:rsid w:val="009066FC"/>
    <w:rsid w:val="009119DE"/>
    <w:rsid w:val="009140A3"/>
    <w:rsid w:val="009144A2"/>
    <w:rsid w:val="0091510C"/>
    <w:rsid w:val="009259AC"/>
    <w:rsid w:val="00926F38"/>
    <w:rsid w:val="00927BEB"/>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B1B5F"/>
    <w:rsid w:val="009B6673"/>
    <w:rsid w:val="009C191B"/>
    <w:rsid w:val="009C2BD6"/>
    <w:rsid w:val="009E1F32"/>
    <w:rsid w:val="009E2CC2"/>
    <w:rsid w:val="009E776C"/>
    <w:rsid w:val="009F4C8F"/>
    <w:rsid w:val="00A05588"/>
    <w:rsid w:val="00A1726E"/>
    <w:rsid w:val="00A204CF"/>
    <w:rsid w:val="00A21D2B"/>
    <w:rsid w:val="00A23D49"/>
    <w:rsid w:val="00A24ECC"/>
    <w:rsid w:val="00A27004"/>
    <w:rsid w:val="00A308CE"/>
    <w:rsid w:val="00A30C29"/>
    <w:rsid w:val="00A34DD6"/>
    <w:rsid w:val="00A36819"/>
    <w:rsid w:val="00A36989"/>
    <w:rsid w:val="00A43628"/>
    <w:rsid w:val="00A51D0F"/>
    <w:rsid w:val="00A54192"/>
    <w:rsid w:val="00A57147"/>
    <w:rsid w:val="00A6035E"/>
    <w:rsid w:val="00A6144C"/>
    <w:rsid w:val="00A66617"/>
    <w:rsid w:val="00A671F8"/>
    <w:rsid w:val="00A673A4"/>
    <w:rsid w:val="00A724AE"/>
    <w:rsid w:val="00A73329"/>
    <w:rsid w:val="00A82359"/>
    <w:rsid w:val="00A865D2"/>
    <w:rsid w:val="00A90BCD"/>
    <w:rsid w:val="00A94C20"/>
    <w:rsid w:val="00AA1B09"/>
    <w:rsid w:val="00AA227F"/>
    <w:rsid w:val="00AA3BC7"/>
    <w:rsid w:val="00AA754A"/>
    <w:rsid w:val="00AB099E"/>
    <w:rsid w:val="00AB4328"/>
    <w:rsid w:val="00AC4CD4"/>
    <w:rsid w:val="00AE0A2E"/>
    <w:rsid w:val="00AE354C"/>
    <w:rsid w:val="00AF4B07"/>
    <w:rsid w:val="00AF6186"/>
    <w:rsid w:val="00AF7A3A"/>
    <w:rsid w:val="00B02587"/>
    <w:rsid w:val="00B160DB"/>
    <w:rsid w:val="00B20836"/>
    <w:rsid w:val="00B235BB"/>
    <w:rsid w:val="00B27A44"/>
    <w:rsid w:val="00B30BBF"/>
    <w:rsid w:val="00B33C03"/>
    <w:rsid w:val="00B4421F"/>
    <w:rsid w:val="00B44E56"/>
    <w:rsid w:val="00B45917"/>
    <w:rsid w:val="00B46543"/>
    <w:rsid w:val="00B47D33"/>
    <w:rsid w:val="00B52BE0"/>
    <w:rsid w:val="00B54133"/>
    <w:rsid w:val="00B701ED"/>
    <w:rsid w:val="00B748F7"/>
    <w:rsid w:val="00B8086C"/>
    <w:rsid w:val="00B81C58"/>
    <w:rsid w:val="00B861B4"/>
    <w:rsid w:val="00B86DFE"/>
    <w:rsid w:val="00B90990"/>
    <w:rsid w:val="00B922FF"/>
    <w:rsid w:val="00B9281E"/>
    <w:rsid w:val="00B93925"/>
    <w:rsid w:val="00B95187"/>
    <w:rsid w:val="00BA2D55"/>
    <w:rsid w:val="00BA71B1"/>
    <w:rsid w:val="00BB0637"/>
    <w:rsid w:val="00BB345F"/>
    <w:rsid w:val="00BB68EA"/>
    <w:rsid w:val="00BC0B99"/>
    <w:rsid w:val="00BC1C27"/>
    <w:rsid w:val="00BC6BBF"/>
    <w:rsid w:val="00BD1572"/>
    <w:rsid w:val="00BE14E3"/>
    <w:rsid w:val="00BE3774"/>
    <w:rsid w:val="00BE41E5"/>
    <w:rsid w:val="00BF118F"/>
    <w:rsid w:val="00BF4109"/>
    <w:rsid w:val="00BF4CC3"/>
    <w:rsid w:val="00C054C7"/>
    <w:rsid w:val="00C057B5"/>
    <w:rsid w:val="00C07A62"/>
    <w:rsid w:val="00C115C3"/>
    <w:rsid w:val="00C15547"/>
    <w:rsid w:val="00C22687"/>
    <w:rsid w:val="00C32E4D"/>
    <w:rsid w:val="00C333A0"/>
    <w:rsid w:val="00C36A81"/>
    <w:rsid w:val="00C41974"/>
    <w:rsid w:val="00C44A2C"/>
    <w:rsid w:val="00C477F7"/>
    <w:rsid w:val="00C509A6"/>
    <w:rsid w:val="00C53F4A"/>
    <w:rsid w:val="00C54125"/>
    <w:rsid w:val="00C55B54"/>
    <w:rsid w:val="00C6098E"/>
    <w:rsid w:val="00C6152C"/>
    <w:rsid w:val="00C74810"/>
    <w:rsid w:val="00C90D68"/>
    <w:rsid w:val="00C939FE"/>
    <w:rsid w:val="00CA4BDA"/>
    <w:rsid w:val="00CB13E3"/>
    <w:rsid w:val="00CB1F66"/>
    <w:rsid w:val="00CB232C"/>
    <w:rsid w:val="00CB2951"/>
    <w:rsid w:val="00CB4277"/>
    <w:rsid w:val="00CC5067"/>
    <w:rsid w:val="00CD11D3"/>
    <w:rsid w:val="00CD282B"/>
    <w:rsid w:val="00CD4C35"/>
    <w:rsid w:val="00CD7369"/>
    <w:rsid w:val="00CE0B0E"/>
    <w:rsid w:val="00CE3831"/>
    <w:rsid w:val="00CF2397"/>
    <w:rsid w:val="00D00ABB"/>
    <w:rsid w:val="00D02EEC"/>
    <w:rsid w:val="00D03551"/>
    <w:rsid w:val="00D06A63"/>
    <w:rsid w:val="00D07E0E"/>
    <w:rsid w:val="00D11478"/>
    <w:rsid w:val="00D15ED0"/>
    <w:rsid w:val="00D164BF"/>
    <w:rsid w:val="00D21B3E"/>
    <w:rsid w:val="00D21FED"/>
    <w:rsid w:val="00D23048"/>
    <w:rsid w:val="00D24251"/>
    <w:rsid w:val="00D26E72"/>
    <w:rsid w:val="00D343E2"/>
    <w:rsid w:val="00D361A2"/>
    <w:rsid w:val="00D44C2E"/>
    <w:rsid w:val="00D45414"/>
    <w:rsid w:val="00D50A0A"/>
    <w:rsid w:val="00D566BD"/>
    <w:rsid w:val="00D57A4D"/>
    <w:rsid w:val="00D60AA7"/>
    <w:rsid w:val="00D6435F"/>
    <w:rsid w:val="00D70641"/>
    <w:rsid w:val="00D74888"/>
    <w:rsid w:val="00D75E28"/>
    <w:rsid w:val="00D772C2"/>
    <w:rsid w:val="00D8008E"/>
    <w:rsid w:val="00D82C45"/>
    <w:rsid w:val="00D908A8"/>
    <w:rsid w:val="00D977B6"/>
    <w:rsid w:val="00DA1223"/>
    <w:rsid w:val="00DA4A31"/>
    <w:rsid w:val="00DA7B04"/>
    <w:rsid w:val="00DB36C2"/>
    <w:rsid w:val="00DB7848"/>
    <w:rsid w:val="00DC169B"/>
    <w:rsid w:val="00DC2AB9"/>
    <w:rsid w:val="00DC63F0"/>
    <w:rsid w:val="00DD37EA"/>
    <w:rsid w:val="00DD6EE5"/>
    <w:rsid w:val="00DE386C"/>
    <w:rsid w:val="00DE4D35"/>
    <w:rsid w:val="00DF098B"/>
    <w:rsid w:val="00DF11C4"/>
    <w:rsid w:val="00DF210C"/>
    <w:rsid w:val="00DF4B6A"/>
    <w:rsid w:val="00E02C09"/>
    <w:rsid w:val="00E04D59"/>
    <w:rsid w:val="00E07DA1"/>
    <w:rsid w:val="00E123CB"/>
    <w:rsid w:val="00E13B09"/>
    <w:rsid w:val="00E20E13"/>
    <w:rsid w:val="00E21DBC"/>
    <w:rsid w:val="00E275D7"/>
    <w:rsid w:val="00E27DBE"/>
    <w:rsid w:val="00E32AB1"/>
    <w:rsid w:val="00E36C71"/>
    <w:rsid w:val="00E40404"/>
    <w:rsid w:val="00E4126A"/>
    <w:rsid w:val="00E42A06"/>
    <w:rsid w:val="00E459C6"/>
    <w:rsid w:val="00E47589"/>
    <w:rsid w:val="00E63EC7"/>
    <w:rsid w:val="00E64915"/>
    <w:rsid w:val="00E64D3A"/>
    <w:rsid w:val="00E661D4"/>
    <w:rsid w:val="00E70091"/>
    <w:rsid w:val="00E70D2E"/>
    <w:rsid w:val="00E720F5"/>
    <w:rsid w:val="00E76D47"/>
    <w:rsid w:val="00E827BC"/>
    <w:rsid w:val="00E849F7"/>
    <w:rsid w:val="00E90302"/>
    <w:rsid w:val="00E95C1E"/>
    <w:rsid w:val="00E97396"/>
    <w:rsid w:val="00EA185E"/>
    <w:rsid w:val="00EA592A"/>
    <w:rsid w:val="00EB070B"/>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F3DB4"/>
    <w:rsid w:val="00F00A79"/>
    <w:rsid w:val="00F00E86"/>
    <w:rsid w:val="00F07C1E"/>
    <w:rsid w:val="00F105DB"/>
    <w:rsid w:val="00F132BC"/>
    <w:rsid w:val="00F13D80"/>
    <w:rsid w:val="00F15B4D"/>
    <w:rsid w:val="00F16AAA"/>
    <w:rsid w:val="00F1709C"/>
    <w:rsid w:val="00F21161"/>
    <w:rsid w:val="00F218EF"/>
    <w:rsid w:val="00F21BC7"/>
    <w:rsid w:val="00F266A2"/>
    <w:rsid w:val="00F32269"/>
    <w:rsid w:val="00F35B7A"/>
    <w:rsid w:val="00F56A6F"/>
    <w:rsid w:val="00F5709C"/>
    <w:rsid w:val="00F60B85"/>
    <w:rsid w:val="00F64EF1"/>
    <w:rsid w:val="00F7349B"/>
    <w:rsid w:val="00F8765F"/>
    <w:rsid w:val="00F90767"/>
    <w:rsid w:val="00FA1637"/>
    <w:rsid w:val="00FA685B"/>
    <w:rsid w:val="00FB0C01"/>
    <w:rsid w:val="00FB5934"/>
    <w:rsid w:val="00FC18F2"/>
    <w:rsid w:val="00FC2A17"/>
    <w:rsid w:val="00FC38CF"/>
    <w:rsid w:val="00FC39E5"/>
    <w:rsid w:val="00FC3A78"/>
    <w:rsid w:val="00FD1005"/>
    <w:rsid w:val="00FD6C75"/>
    <w:rsid w:val="00FD78E8"/>
    <w:rsid w:val="00FD7972"/>
    <w:rsid w:val="00FE71B3"/>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51725A"/>
    <w:rPr>
      <w:rFonts w:eastAsiaTheme="minorEastAsia"/>
      <w:sz w:val="24"/>
      <w:lang w:val="en-GB"/>
    </w:rPr>
  </w:style>
  <w:style w:type="paragraph" w:styleId="Heading1">
    <w:name w:val="heading 1"/>
    <w:basedOn w:val="Normal"/>
    <w:next w:val="Normal"/>
    <w:link w:val="Heading1Char"/>
    <w:uiPriority w:val="99"/>
    <w:semiHidden/>
    <w:rsid w:val="0051725A"/>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51725A"/>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51725A"/>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51725A"/>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51725A"/>
    <w:pPr>
      <w:spacing w:before="200"/>
      <w:outlineLvl w:val="4"/>
    </w:pPr>
    <w:rPr>
      <w:rFonts w:asciiTheme="majorHAnsi" w:eastAsiaTheme="majorEastAsia" w:hAnsiTheme="majorHAnsi" w:cstheme="majorBidi"/>
      <w:b/>
      <w:bCs/>
      <w:color w:val="808080"/>
    </w:rPr>
  </w:style>
  <w:style w:type="paragraph" w:styleId="Heading6">
    <w:name w:val="heading 6"/>
    <w:basedOn w:val="Normal"/>
    <w:next w:val="Normal"/>
    <w:link w:val="Heading6Char"/>
    <w:uiPriority w:val="99"/>
    <w:semiHidden/>
    <w:rsid w:val="0051725A"/>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51725A"/>
    <w:pPr>
      <w:outlineLvl w:val="6"/>
    </w:pPr>
    <w:rPr>
      <w:rFonts w:asciiTheme="majorHAnsi" w:eastAsiaTheme="majorEastAsia" w:hAnsiTheme="majorHAnsi" w:cstheme="majorBidi"/>
      <w:i/>
      <w:iCs/>
      <w:lang w:bidi="en-US"/>
    </w:rPr>
  </w:style>
  <w:style w:type="paragraph" w:styleId="Heading8">
    <w:name w:val="heading 8"/>
    <w:basedOn w:val="Normal"/>
    <w:next w:val="Normal"/>
    <w:link w:val="Heading8Char"/>
    <w:uiPriority w:val="99"/>
    <w:semiHidden/>
    <w:qFormat/>
    <w:rsid w:val="0051725A"/>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51725A"/>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1725A"/>
    <w:rPr>
      <w:rFonts w:ascii="Tahoma" w:hAnsi="Tahoma" w:cs="Tahoma"/>
      <w:sz w:val="16"/>
      <w:szCs w:val="16"/>
    </w:rPr>
  </w:style>
  <w:style w:type="character" w:customStyle="1" w:styleId="BalloonTextChar">
    <w:name w:val="Balloon Text Char"/>
    <w:basedOn w:val="DefaultParagraphFont"/>
    <w:link w:val="BalloonText"/>
    <w:uiPriority w:val="99"/>
    <w:semiHidden/>
    <w:rsid w:val="0051725A"/>
    <w:rPr>
      <w:rFonts w:ascii="Tahoma" w:eastAsiaTheme="minorEastAsia" w:hAnsi="Tahoma" w:cs="Tahoma"/>
      <w:sz w:val="16"/>
      <w:szCs w:val="16"/>
      <w:lang w:val="en-GB"/>
    </w:rPr>
  </w:style>
  <w:style w:type="character" w:styleId="BookTitle">
    <w:name w:val="Book Title"/>
    <w:uiPriority w:val="99"/>
    <w:semiHidden/>
    <w:qFormat/>
    <w:rsid w:val="0051725A"/>
    <w:rPr>
      <w:i/>
      <w:iCs/>
      <w:smallCaps/>
      <w:spacing w:val="5"/>
    </w:rPr>
  </w:style>
  <w:style w:type="paragraph" w:customStyle="1" w:styleId="JuHeader">
    <w:name w:val="Ju_Header"/>
    <w:aliases w:val="_Header"/>
    <w:basedOn w:val="Header"/>
    <w:uiPriority w:val="29"/>
    <w:qFormat/>
    <w:rsid w:val="0051725A"/>
    <w:pPr>
      <w:tabs>
        <w:tab w:val="clear" w:pos="4536"/>
        <w:tab w:val="clear" w:pos="9072"/>
        <w:tab w:val="center" w:pos="3686"/>
        <w:tab w:val="right" w:pos="7371"/>
      </w:tabs>
    </w:pPr>
    <w:rPr>
      <w:sz w:val="18"/>
    </w:rPr>
  </w:style>
  <w:style w:type="paragraph" w:customStyle="1" w:styleId="NormalJustified">
    <w:name w:val="Normal_Justified"/>
    <w:basedOn w:val="Normal"/>
    <w:semiHidden/>
    <w:rsid w:val="0051725A"/>
    <w:pPr>
      <w:jc w:val="both"/>
    </w:pPr>
  </w:style>
  <w:style w:type="character" w:styleId="Strong">
    <w:name w:val="Strong"/>
    <w:uiPriority w:val="99"/>
    <w:semiHidden/>
    <w:qFormat/>
    <w:rsid w:val="0051725A"/>
    <w:rPr>
      <w:b/>
      <w:bCs/>
    </w:rPr>
  </w:style>
  <w:style w:type="paragraph" w:styleId="NoSpacing">
    <w:name w:val="No Spacing"/>
    <w:basedOn w:val="Normal"/>
    <w:link w:val="NoSpacingChar"/>
    <w:semiHidden/>
    <w:qFormat/>
    <w:rsid w:val="0051725A"/>
  </w:style>
  <w:style w:type="character" w:customStyle="1" w:styleId="NoSpacingChar">
    <w:name w:val="No Spacing Char"/>
    <w:basedOn w:val="DefaultParagraphFont"/>
    <w:link w:val="NoSpacing"/>
    <w:semiHidden/>
    <w:rsid w:val="0051725A"/>
    <w:rPr>
      <w:rFonts w:eastAsiaTheme="minorEastAsia"/>
      <w:sz w:val="24"/>
      <w:lang w:val="en-GB"/>
    </w:rPr>
  </w:style>
  <w:style w:type="paragraph" w:customStyle="1" w:styleId="JuQuot">
    <w:name w:val="Ju_Quot"/>
    <w:aliases w:val="_Quote,ECHR_Para_Quote"/>
    <w:basedOn w:val="NormalJustified"/>
    <w:uiPriority w:val="14"/>
    <w:qFormat/>
    <w:rsid w:val="0051725A"/>
    <w:pPr>
      <w:spacing w:before="120" w:after="120"/>
      <w:ind w:left="425" w:firstLine="142"/>
    </w:pPr>
    <w:rPr>
      <w:sz w:val="20"/>
    </w:rPr>
  </w:style>
  <w:style w:type="paragraph" w:customStyle="1" w:styleId="DecList">
    <w:name w:val="Dec_List"/>
    <w:aliases w:val="_List"/>
    <w:basedOn w:val="JuList"/>
    <w:uiPriority w:val="22"/>
    <w:rsid w:val="0051725A"/>
    <w:pPr>
      <w:numPr>
        <w:numId w:val="0"/>
      </w:numPr>
      <w:ind w:left="340"/>
    </w:pPr>
  </w:style>
  <w:style w:type="paragraph" w:customStyle="1" w:styleId="JuList">
    <w:name w:val="Ju_List"/>
    <w:aliases w:val="_List_1"/>
    <w:basedOn w:val="NormalJustified"/>
    <w:uiPriority w:val="23"/>
    <w:qFormat/>
    <w:rsid w:val="0051725A"/>
    <w:pPr>
      <w:numPr>
        <w:numId w:val="2"/>
      </w:numPr>
      <w:spacing w:before="280" w:after="60"/>
    </w:pPr>
    <w:rPr>
      <w:rFonts w:eastAsiaTheme="minorHAnsi"/>
    </w:rPr>
  </w:style>
  <w:style w:type="paragraph" w:customStyle="1" w:styleId="JuLista">
    <w:name w:val="Ju_List_a"/>
    <w:aliases w:val="_List_2"/>
    <w:basedOn w:val="NormalJustified"/>
    <w:uiPriority w:val="23"/>
    <w:rsid w:val="0051725A"/>
    <w:pPr>
      <w:numPr>
        <w:ilvl w:val="1"/>
        <w:numId w:val="2"/>
      </w:numPr>
    </w:pPr>
  </w:style>
  <w:style w:type="paragraph" w:customStyle="1" w:styleId="JuListi">
    <w:name w:val="Ju_List_i"/>
    <w:aliases w:val="_List_3"/>
    <w:basedOn w:val="NormalJustified"/>
    <w:uiPriority w:val="23"/>
    <w:rsid w:val="0051725A"/>
    <w:pPr>
      <w:numPr>
        <w:ilvl w:val="2"/>
        <w:numId w:val="2"/>
      </w:numPr>
    </w:pPr>
  </w:style>
  <w:style w:type="paragraph" w:customStyle="1" w:styleId="JuHArticle">
    <w:name w:val="Ju_H_Article"/>
    <w:aliases w:val="_Title_Quote"/>
    <w:basedOn w:val="Normal"/>
    <w:next w:val="JuQuot"/>
    <w:uiPriority w:val="20"/>
    <w:qFormat/>
    <w:rsid w:val="0051725A"/>
    <w:pPr>
      <w:keepNext/>
      <w:spacing w:before="100" w:beforeAutospacing="1" w:after="120"/>
      <w:contextualSpacing/>
      <w:jc w:val="center"/>
    </w:pPr>
    <w:rPr>
      <w:rFonts w:eastAsiaTheme="minorHAnsi"/>
      <w:b/>
      <w:sz w:val="20"/>
    </w:rPr>
  </w:style>
  <w:style w:type="paragraph" w:customStyle="1" w:styleId="DecHTitle">
    <w:name w:val="Dec_H_Title"/>
    <w:aliases w:val="_Title_1"/>
    <w:basedOn w:val="JuPara"/>
    <w:next w:val="JuPara"/>
    <w:uiPriority w:val="35"/>
    <w:qFormat/>
    <w:rsid w:val="0051725A"/>
    <w:pPr>
      <w:keepNext/>
      <w:keepLines/>
      <w:spacing w:after="240"/>
      <w:ind w:firstLine="0"/>
      <w:jc w:val="center"/>
      <w:outlineLvl w:val="0"/>
    </w:pPr>
    <w:rPr>
      <w:rFonts w:asciiTheme="majorHAnsi" w:hAnsiTheme="majorHAnsi"/>
      <w:sz w:val="28"/>
    </w:rPr>
  </w:style>
  <w:style w:type="paragraph" w:customStyle="1" w:styleId="Title4">
    <w:name w:val="_Title_4"/>
    <w:basedOn w:val="JuPara"/>
    <w:next w:val="JuPara"/>
    <w:uiPriority w:val="35"/>
    <w:qFormat/>
    <w:rsid w:val="0051725A"/>
    <w:pPr>
      <w:keepNext/>
      <w:keepLines/>
      <w:tabs>
        <w:tab w:val="right" w:pos="7938"/>
      </w:tabs>
      <w:ind w:firstLine="0"/>
      <w:jc w:val="center"/>
    </w:pPr>
    <w:rPr>
      <w:rFonts w:eastAsiaTheme="minorHAnsi"/>
      <w:i/>
    </w:rPr>
  </w:style>
  <w:style w:type="paragraph" w:customStyle="1" w:styleId="JuHHead">
    <w:name w:val="Ju_H_Head"/>
    <w:aliases w:val="_Head_1"/>
    <w:basedOn w:val="Normal"/>
    <w:next w:val="JuPara"/>
    <w:uiPriority w:val="19"/>
    <w:qFormat/>
    <w:rsid w:val="0051725A"/>
    <w:pPr>
      <w:keepNext/>
      <w:keepLines/>
      <w:numPr>
        <w:numId w:val="1"/>
      </w:numPr>
      <w:spacing w:before="100" w:beforeAutospacing="1" w:after="240"/>
      <w:jc w:val="both"/>
      <w:outlineLvl w:val="0"/>
    </w:pPr>
    <w:rPr>
      <w:caps/>
      <w:sz w:val="28"/>
    </w:rPr>
  </w:style>
  <w:style w:type="numbering" w:customStyle="1" w:styleId="ECHRA1StyleBulletedSquare">
    <w:name w:val="ECHR_A1_Style_Bulleted_Square"/>
    <w:basedOn w:val="NoList"/>
    <w:rsid w:val="0051725A"/>
    <w:pPr>
      <w:numPr>
        <w:numId w:val="6"/>
      </w:numPr>
    </w:pPr>
  </w:style>
  <w:style w:type="paragraph" w:customStyle="1" w:styleId="JuSigned">
    <w:name w:val="Ju_Signed"/>
    <w:aliases w:val="_Signature"/>
    <w:basedOn w:val="Normal"/>
    <w:next w:val="JuPara"/>
    <w:uiPriority w:val="30"/>
    <w:qFormat/>
    <w:rsid w:val="0051725A"/>
    <w:pPr>
      <w:tabs>
        <w:tab w:val="center" w:pos="851"/>
        <w:tab w:val="center" w:pos="6407"/>
      </w:tabs>
      <w:spacing w:before="720"/>
    </w:pPr>
  </w:style>
  <w:style w:type="paragraph" w:styleId="Title">
    <w:name w:val="Title"/>
    <w:basedOn w:val="Normal"/>
    <w:next w:val="Normal"/>
    <w:link w:val="TitleChar"/>
    <w:uiPriority w:val="99"/>
    <w:semiHidden/>
    <w:qFormat/>
    <w:rsid w:val="0051725A"/>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51725A"/>
    <w:rPr>
      <w:rFonts w:asciiTheme="majorHAnsi" w:eastAsiaTheme="majorEastAsia" w:hAnsiTheme="majorHAnsi" w:cstheme="majorBidi"/>
      <w:spacing w:val="5"/>
      <w:sz w:val="52"/>
      <w:szCs w:val="52"/>
      <w:lang w:val="en-GB" w:bidi="en-US"/>
    </w:rPr>
  </w:style>
  <w:style w:type="numbering" w:customStyle="1" w:styleId="ECHRA1StyleList">
    <w:name w:val="ECHR_A1_Style_List"/>
    <w:basedOn w:val="NoList"/>
    <w:uiPriority w:val="99"/>
    <w:rsid w:val="0051725A"/>
    <w:pPr>
      <w:numPr>
        <w:numId w:val="7"/>
      </w:numPr>
    </w:pPr>
  </w:style>
  <w:style w:type="numbering" w:customStyle="1" w:styleId="ECHRA1StyleNumberedList">
    <w:name w:val="ECHR_A1_Style_Numbered_List"/>
    <w:basedOn w:val="NoList"/>
    <w:rsid w:val="0051725A"/>
    <w:pPr>
      <w:numPr>
        <w:numId w:val="8"/>
      </w:numPr>
    </w:pPr>
  </w:style>
  <w:style w:type="table" w:customStyle="1" w:styleId="ECHRTable2019">
    <w:name w:val="ECHR_Table_2019"/>
    <w:basedOn w:val="TableNormal"/>
    <w:uiPriority w:val="99"/>
    <w:rsid w:val="0051725A"/>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rPr>
        <w:rFonts w:asciiTheme="majorHAnsi" w:hAnsiTheme="majorHAnsi"/>
        <w:b/>
        <w:i w:val="0"/>
        <w:color w:val="F8F8F8" w:themeColor="background2"/>
        <w:sz w:val="22"/>
      </w:rPr>
      <w:tblPr/>
      <w:trPr>
        <w:tblHeader/>
      </w:trPr>
      <w:tcPr>
        <w:tcBorders>
          <w:top w:val="single" w:sz="4" w:space="0" w:color="5F5F5F" w:themeColor="accent3"/>
          <w:left w:val="single" w:sz="4" w:space="0" w:color="5F5F5F" w:themeColor="accent3"/>
          <w:bottom w:val="single" w:sz="4" w:space="0" w:color="5F5F5F" w:themeColor="accent3"/>
          <w:right w:val="single" w:sz="4" w:space="0" w:color="5F5F5F" w:themeColor="accent3"/>
          <w:insideH w:val="single" w:sz="4" w:space="0" w:color="5F5F5F" w:themeColor="accent3"/>
          <w:insideV w:val="single" w:sz="4" w:space="0" w:color="F8F8F8" w:themeColor="background2"/>
          <w:tl2br w:val="nil"/>
          <w:tr2bl w:val="nil"/>
        </w:tcBorders>
        <w:shd w:val="clear" w:color="auto" w:fill="5F5F5F" w:themeFill="accent3"/>
      </w:tcPr>
    </w:tblStylePr>
    <w:tblStylePr w:type="lastRow">
      <w:rPr>
        <w:b/>
        <w:i w:val="0"/>
      </w:rPr>
      <w:tblPr/>
      <w:tcPr>
        <w:tcBorders>
          <w:top w:val="single" w:sz="8" w:space="0" w:color="5F5F5F" w:themeColor="accent3"/>
          <w:left w:val="single" w:sz="4" w:space="0" w:color="5F5F5F" w:themeColor="accent3"/>
          <w:bottom w:val="single" w:sz="8" w:space="0" w:color="5F5F5F" w:themeColor="accent3"/>
          <w:right w:val="single" w:sz="4" w:space="0" w:color="5F5F5F" w:themeColor="accent3"/>
          <w:insideH w:val="nil"/>
          <w:insideV w:val="single" w:sz="4" w:space="0" w:color="5F5F5F" w:themeColor="accent3"/>
          <w:tl2br w:val="nil"/>
          <w:tr2bl w:val="nil"/>
        </w:tcBorders>
      </w:tcPr>
    </w:tblStylePr>
    <w:tblStylePr w:type="firstCol">
      <w:rPr>
        <w:rFonts w:asciiTheme="majorHAnsi" w:hAnsiTheme="majorHAnsi"/>
        <w:b/>
        <w:i w:val="0"/>
        <w:color w:val="3E3E3E" w:themeColor="background2" w:themeShade="40"/>
        <w:sz w:val="22"/>
      </w:rPr>
      <w:tblPr/>
      <w:tcPr>
        <w:tcBorders>
          <w:top w:val="single" w:sz="4" w:space="0" w:color="5F5F5F" w:themeColor="accent3"/>
          <w:left w:val="single" w:sz="4" w:space="0" w:color="5F5F5F" w:themeColor="accent3"/>
          <w:bottom w:val="single" w:sz="4" w:space="0" w:color="5F5F5F" w:themeColor="accent3"/>
          <w:right w:val="single" w:sz="4" w:space="0" w:color="5F5F5F" w:themeColor="accent3"/>
          <w:insideH w:val="nil"/>
          <w:insideV w:val="nil"/>
          <w:tl2br w:val="nil"/>
          <w:tr2bl w:val="nil"/>
        </w:tcBorders>
        <w:shd w:val="clear" w:color="auto" w:fill="E8E8E8" w:themeFill="text2" w:themeFillTint="66"/>
      </w:tcPr>
    </w:tblStylePr>
    <w:tblStylePr w:type="lastCol">
      <w:rPr>
        <w:b/>
        <w:i w:val="0"/>
      </w:rPr>
    </w:tblStylePr>
    <w:tblStylePr w:type="band2Vert">
      <w:tblPr/>
      <w:tcPr>
        <w:tcBorders>
          <w:top w:val="single" w:sz="4" w:space="0" w:color="5F5F5F" w:themeColor="accent3"/>
          <w:left w:val="single" w:sz="4" w:space="0" w:color="5F5F5F" w:themeColor="accent3"/>
          <w:bottom w:val="single" w:sz="4" w:space="0" w:color="5F5F5F" w:themeColor="accent3"/>
          <w:right w:val="single" w:sz="4" w:space="0" w:color="5F5F5F" w:themeColor="accent3"/>
          <w:insideH w:val="nil"/>
          <w:insideV w:val="nil"/>
          <w:tl2br w:val="nil"/>
          <w:tr2bl w:val="nil"/>
        </w:tcBorders>
        <w:shd w:val="clear" w:color="auto" w:fill="E8E8E8" w:themeFill="text2" w:themeFillTint="66"/>
      </w:tcPr>
    </w:tblStylePr>
    <w:tblStylePr w:type="band2Horz">
      <w:tblPr/>
      <w:tcPr>
        <w:tcBorders>
          <w:top w:val="single" w:sz="4" w:space="0" w:color="0072BC" w:themeColor="accent1"/>
          <w:left w:val="single" w:sz="4" w:space="0" w:color="0072BC" w:themeColor="accent1"/>
          <w:bottom w:val="single" w:sz="4" w:space="0" w:color="0072BC" w:themeColor="accent1"/>
          <w:right w:val="single" w:sz="4" w:space="0" w:color="0072BC" w:themeColor="accent1"/>
          <w:insideH w:val="single" w:sz="4" w:space="0" w:color="0072BC" w:themeColor="accent1"/>
          <w:insideV w:val="single" w:sz="4" w:space="0" w:color="0072BC" w:themeColor="accent1"/>
          <w:tl2br w:val="nil"/>
          <w:tr2bl w:val="nil"/>
        </w:tcBorders>
        <w:shd w:val="clear" w:color="auto" w:fill="E8E8E8" w:themeFill="text2" w:themeFillTint="66"/>
      </w:tcPr>
    </w:tblStylePr>
  </w:style>
  <w:style w:type="paragraph" w:customStyle="1" w:styleId="Footer">
    <w:name w:val="_Footer"/>
    <w:aliases w:val="Footer_"/>
    <w:basedOn w:val="Footer0"/>
    <w:uiPriority w:val="57"/>
    <w:semiHidden/>
    <w:rsid w:val="0051725A"/>
    <w:rPr>
      <w:sz w:val="8"/>
    </w:rPr>
  </w:style>
  <w:style w:type="paragraph" w:customStyle="1" w:styleId="JuCourt">
    <w:name w:val="Ju_Court"/>
    <w:basedOn w:val="Normal"/>
    <w:next w:val="Normal"/>
    <w:uiPriority w:val="31"/>
    <w:qFormat/>
    <w:rsid w:val="0051725A"/>
    <w:pPr>
      <w:tabs>
        <w:tab w:val="left" w:pos="907"/>
        <w:tab w:val="left" w:pos="1701"/>
        <w:tab w:val="right" w:pos="7371"/>
      </w:tabs>
      <w:spacing w:before="240"/>
      <w:ind w:left="397" w:hanging="397"/>
    </w:pPr>
    <w:rPr>
      <w:lang w:bidi="en-US"/>
    </w:rPr>
  </w:style>
  <w:style w:type="paragraph" w:customStyle="1" w:styleId="JuHIRoman">
    <w:name w:val="Ju_H_I_Roman"/>
    <w:aliases w:val="_Head_2"/>
    <w:basedOn w:val="Normal"/>
    <w:next w:val="JuPara"/>
    <w:uiPriority w:val="19"/>
    <w:qFormat/>
    <w:rsid w:val="0051725A"/>
    <w:pPr>
      <w:keepNext/>
      <w:keepLines/>
      <w:numPr>
        <w:ilvl w:val="1"/>
        <w:numId w:val="1"/>
      </w:numPr>
      <w:spacing w:before="100" w:beforeAutospacing="1" w:after="240"/>
      <w:jc w:val="both"/>
      <w:outlineLvl w:val="1"/>
    </w:pPr>
    <w:rPr>
      <w:caps/>
    </w:rPr>
  </w:style>
  <w:style w:type="paragraph" w:customStyle="1" w:styleId="JuHA">
    <w:name w:val="Ju_H_A"/>
    <w:aliases w:val="_Head_3"/>
    <w:basedOn w:val="Normal"/>
    <w:next w:val="JuPara"/>
    <w:uiPriority w:val="19"/>
    <w:qFormat/>
    <w:rsid w:val="0051725A"/>
    <w:pPr>
      <w:keepNext/>
      <w:keepLines/>
      <w:numPr>
        <w:ilvl w:val="2"/>
        <w:numId w:val="1"/>
      </w:numPr>
      <w:spacing w:before="100" w:beforeAutospacing="1" w:after="240"/>
      <w:jc w:val="both"/>
      <w:outlineLvl w:val="2"/>
    </w:pPr>
    <w:rPr>
      <w:b/>
    </w:rPr>
  </w:style>
  <w:style w:type="paragraph" w:customStyle="1" w:styleId="JuH1">
    <w:name w:val="Ju_H_1."/>
    <w:aliases w:val="_Head_4"/>
    <w:basedOn w:val="Normal"/>
    <w:next w:val="JuPara"/>
    <w:uiPriority w:val="19"/>
    <w:rsid w:val="0051725A"/>
    <w:pPr>
      <w:keepNext/>
      <w:keepLines/>
      <w:numPr>
        <w:ilvl w:val="3"/>
        <w:numId w:val="1"/>
      </w:numPr>
      <w:spacing w:before="100" w:beforeAutospacing="1" w:after="120"/>
      <w:jc w:val="both"/>
      <w:outlineLvl w:val="3"/>
    </w:pPr>
    <w:rPr>
      <w:i/>
    </w:rPr>
  </w:style>
  <w:style w:type="paragraph" w:styleId="Header">
    <w:name w:val="header"/>
    <w:basedOn w:val="Normal"/>
    <w:link w:val="HeaderChar"/>
    <w:uiPriority w:val="57"/>
    <w:semiHidden/>
    <w:rsid w:val="0051725A"/>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51725A"/>
    <w:rPr>
      <w:sz w:val="24"/>
      <w:lang w:val="en-GB"/>
    </w:rPr>
  </w:style>
  <w:style w:type="character" w:customStyle="1" w:styleId="Heading1Char">
    <w:name w:val="Heading 1 Char"/>
    <w:basedOn w:val="DefaultParagraphFont"/>
    <w:link w:val="Heading1"/>
    <w:uiPriority w:val="99"/>
    <w:semiHidden/>
    <w:rsid w:val="0051725A"/>
    <w:rPr>
      <w:rFonts w:asciiTheme="majorHAnsi" w:eastAsiaTheme="majorEastAsia" w:hAnsiTheme="majorHAnsi" w:cstheme="majorBidi"/>
      <w:b/>
      <w:bCs/>
      <w:color w:val="333333"/>
      <w:sz w:val="28"/>
      <w:szCs w:val="28"/>
      <w:lang w:val="en-GB"/>
    </w:rPr>
  </w:style>
  <w:style w:type="paragraph" w:customStyle="1" w:styleId="JuHa0">
    <w:name w:val="Ju_H_a"/>
    <w:aliases w:val="_Head_5"/>
    <w:basedOn w:val="Normal"/>
    <w:next w:val="JuPara"/>
    <w:uiPriority w:val="19"/>
    <w:rsid w:val="0051725A"/>
    <w:pPr>
      <w:keepNext/>
      <w:keepLines/>
      <w:numPr>
        <w:ilvl w:val="4"/>
        <w:numId w:val="1"/>
      </w:numPr>
      <w:spacing w:before="100" w:beforeAutospacing="1" w:after="120"/>
      <w:jc w:val="both"/>
      <w:outlineLvl w:val="4"/>
    </w:pPr>
    <w:rPr>
      <w:b/>
      <w:sz w:val="20"/>
    </w:rPr>
  </w:style>
  <w:style w:type="paragraph" w:customStyle="1" w:styleId="JuHi">
    <w:name w:val="Ju_H_i"/>
    <w:aliases w:val="_Head_6"/>
    <w:basedOn w:val="Normal"/>
    <w:next w:val="JuPara"/>
    <w:uiPriority w:val="19"/>
    <w:rsid w:val="0051725A"/>
    <w:pPr>
      <w:keepNext/>
      <w:keepLines/>
      <w:numPr>
        <w:ilvl w:val="5"/>
        <w:numId w:val="1"/>
      </w:numPr>
      <w:spacing w:before="100" w:beforeAutospacing="1" w:after="120"/>
      <w:jc w:val="both"/>
      <w:outlineLvl w:val="5"/>
    </w:pPr>
    <w:rPr>
      <w:i/>
      <w:sz w:val="20"/>
    </w:rPr>
  </w:style>
  <w:style w:type="character" w:customStyle="1" w:styleId="Heading2Char">
    <w:name w:val="Heading 2 Char"/>
    <w:basedOn w:val="DefaultParagraphFont"/>
    <w:link w:val="Heading2"/>
    <w:uiPriority w:val="99"/>
    <w:semiHidden/>
    <w:rsid w:val="0051725A"/>
    <w:rPr>
      <w:rFonts w:asciiTheme="majorHAnsi" w:eastAsiaTheme="majorEastAsia" w:hAnsiTheme="majorHAnsi" w:cstheme="majorBidi"/>
      <w:b/>
      <w:bCs/>
      <w:color w:val="4D4D4D"/>
      <w:sz w:val="26"/>
      <w:szCs w:val="26"/>
      <w:lang w:val="en-GB"/>
    </w:rPr>
  </w:style>
  <w:style w:type="paragraph" w:customStyle="1" w:styleId="JuHalpha">
    <w:name w:val="Ju_H_alpha"/>
    <w:aliases w:val="_Head_7"/>
    <w:basedOn w:val="Normal"/>
    <w:next w:val="JuPara"/>
    <w:uiPriority w:val="19"/>
    <w:rsid w:val="0051725A"/>
    <w:pPr>
      <w:keepNext/>
      <w:keepLines/>
      <w:numPr>
        <w:ilvl w:val="6"/>
        <w:numId w:val="1"/>
      </w:numPr>
      <w:spacing w:before="100" w:beforeAutospacing="1" w:after="120"/>
      <w:jc w:val="both"/>
      <w:outlineLvl w:val="6"/>
    </w:pPr>
    <w:rPr>
      <w:sz w:val="20"/>
    </w:rPr>
  </w:style>
  <w:style w:type="paragraph" w:customStyle="1" w:styleId="JuH">
    <w:name w:val="Ju_H_–"/>
    <w:aliases w:val="_Head_8"/>
    <w:basedOn w:val="Normal"/>
    <w:next w:val="JuPara"/>
    <w:uiPriority w:val="19"/>
    <w:rsid w:val="0051725A"/>
    <w:pPr>
      <w:keepNext/>
      <w:keepLines/>
      <w:numPr>
        <w:ilvl w:val="7"/>
        <w:numId w:val="1"/>
      </w:numPr>
      <w:spacing w:before="100" w:beforeAutospacing="1" w:after="120"/>
      <w:jc w:val="both"/>
      <w:outlineLvl w:val="7"/>
    </w:pPr>
    <w:rPr>
      <w:i/>
      <w:sz w:val="20"/>
    </w:rPr>
  </w:style>
  <w:style w:type="character" w:customStyle="1" w:styleId="Heading3Char">
    <w:name w:val="Heading 3 Char"/>
    <w:basedOn w:val="DefaultParagraphFont"/>
    <w:link w:val="Heading3"/>
    <w:uiPriority w:val="99"/>
    <w:semiHidden/>
    <w:rsid w:val="0051725A"/>
    <w:rPr>
      <w:rFonts w:asciiTheme="majorHAnsi" w:eastAsiaTheme="majorEastAsia" w:hAnsiTheme="majorHAnsi" w:cstheme="majorBidi"/>
      <w:b/>
      <w:bCs/>
      <w:color w:val="5F5F5F"/>
      <w:sz w:val="24"/>
      <w:lang w:val="en-GB"/>
    </w:rPr>
  </w:style>
  <w:style w:type="paragraph" w:customStyle="1" w:styleId="JuParaLast">
    <w:name w:val="Ju_Para_Last"/>
    <w:aliases w:val="_Para_Spaced"/>
    <w:basedOn w:val="NormalJustified"/>
    <w:uiPriority w:val="9"/>
    <w:qFormat/>
    <w:rsid w:val="0051725A"/>
    <w:pPr>
      <w:keepNext/>
      <w:keepLines/>
      <w:spacing w:before="240" w:after="240"/>
      <w:ind w:firstLine="284"/>
    </w:pPr>
    <w:rPr>
      <w:rFonts w:eastAsiaTheme="minorHAnsi"/>
    </w:rPr>
  </w:style>
  <w:style w:type="paragraph" w:customStyle="1" w:styleId="JuJudges">
    <w:name w:val="Ju_Judges"/>
    <w:basedOn w:val="Normal"/>
    <w:uiPriority w:val="31"/>
    <w:qFormat/>
    <w:rsid w:val="0051725A"/>
    <w:pPr>
      <w:tabs>
        <w:tab w:val="left" w:pos="567"/>
        <w:tab w:val="left" w:pos="1134"/>
      </w:tabs>
    </w:pPr>
  </w:style>
  <w:style w:type="character" w:customStyle="1" w:styleId="Heading4Char">
    <w:name w:val="Heading 4 Char"/>
    <w:basedOn w:val="DefaultParagraphFont"/>
    <w:link w:val="Heading4"/>
    <w:uiPriority w:val="99"/>
    <w:semiHidden/>
    <w:rsid w:val="0051725A"/>
    <w:rPr>
      <w:rFonts w:asciiTheme="majorHAnsi" w:eastAsiaTheme="majorEastAsia" w:hAnsiTheme="majorHAnsi" w:cstheme="majorBidi"/>
      <w:b/>
      <w:bCs/>
      <w:i/>
      <w:iCs/>
      <w:color w:val="777777"/>
      <w:sz w:val="24"/>
      <w:lang w:val="en-GB"/>
    </w:rPr>
  </w:style>
  <w:style w:type="paragraph" w:customStyle="1" w:styleId="JuInitialled">
    <w:name w:val="Ju_Initialled"/>
    <w:aliases w:val="_Right"/>
    <w:basedOn w:val="Normal"/>
    <w:uiPriority w:val="30"/>
    <w:qFormat/>
    <w:rsid w:val="0051725A"/>
    <w:pPr>
      <w:tabs>
        <w:tab w:val="center" w:pos="6407"/>
      </w:tabs>
      <w:spacing w:before="720"/>
      <w:jc w:val="right"/>
    </w:pPr>
  </w:style>
  <w:style w:type="character" w:customStyle="1" w:styleId="Heading5Char">
    <w:name w:val="Heading 5 Char"/>
    <w:basedOn w:val="DefaultParagraphFont"/>
    <w:link w:val="Heading5"/>
    <w:uiPriority w:val="99"/>
    <w:semiHidden/>
    <w:rsid w:val="0051725A"/>
    <w:rPr>
      <w:rFonts w:asciiTheme="majorHAnsi" w:eastAsiaTheme="majorEastAsia" w:hAnsiTheme="majorHAnsi" w:cstheme="majorBidi"/>
      <w:b/>
      <w:bCs/>
      <w:color w:val="808080"/>
      <w:sz w:val="24"/>
      <w:lang w:val="en-GB"/>
    </w:rPr>
  </w:style>
  <w:style w:type="character" w:customStyle="1" w:styleId="JuITMark">
    <w:name w:val="Ju_ITMark"/>
    <w:basedOn w:val="DefaultParagraphFont"/>
    <w:uiPriority w:val="38"/>
    <w:qFormat/>
    <w:rsid w:val="0051725A"/>
    <w:rPr>
      <w:vanish w:val="0"/>
      <w:color w:val="auto"/>
      <w:sz w:val="14"/>
      <w:bdr w:val="none" w:sz="0" w:space="0" w:color="auto"/>
      <w:shd w:val="clear" w:color="auto" w:fill="BEE5FF" w:themeFill="background1" w:themeFillTint="33"/>
    </w:rPr>
  </w:style>
  <w:style w:type="character" w:customStyle="1" w:styleId="JUNAMES">
    <w:name w:val="JU_NAMES"/>
    <w:uiPriority w:val="34"/>
    <w:qFormat/>
    <w:rsid w:val="0051725A"/>
    <w:rPr>
      <w:caps w:val="0"/>
      <w:smallCaps/>
    </w:rPr>
  </w:style>
  <w:style w:type="character" w:styleId="SubtleEmphasis">
    <w:name w:val="Subtle Emphasis"/>
    <w:uiPriority w:val="99"/>
    <w:semiHidden/>
    <w:qFormat/>
    <w:rsid w:val="0051725A"/>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51725A"/>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character" w:styleId="Emphasis">
    <w:name w:val="Emphasis"/>
    <w:uiPriority w:val="99"/>
    <w:semiHidden/>
    <w:qFormat/>
    <w:rsid w:val="0051725A"/>
    <w:rPr>
      <w:b/>
      <w:bCs/>
      <w:i/>
      <w:iCs/>
      <w:spacing w:val="10"/>
      <w:bdr w:val="none" w:sz="0" w:space="0" w:color="auto"/>
      <w:shd w:val="clear" w:color="auto" w:fill="auto"/>
    </w:rPr>
  </w:style>
  <w:style w:type="paragraph" w:styleId="Footer0">
    <w:name w:val="footer"/>
    <w:basedOn w:val="Normal"/>
    <w:link w:val="FooterChar"/>
    <w:uiPriority w:val="57"/>
    <w:semiHidden/>
    <w:rsid w:val="0051725A"/>
    <w:pPr>
      <w:tabs>
        <w:tab w:val="center" w:pos="4536"/>
        <w:tab w:val="right" w:pos="9696"/>
      </w:tabs>
      <w:ind w:left="-680" w:right="-680"/>
    </w:pPr>
    <w:rPr>
      <w:rFonts w:eastAsiaTheme="minorHAnsi"/>
    </w:rPr>
  </w:style>
  <w:style w:type="character" w:customStyle="1" w:styleId="FooterChar">
    <w:name w:val="Footer Char"/>
    <w:basedOn w:val="DefaultParagraphFont"/>
    <w:link w:val="Footer0"/>
    <w:uiPriority w:val="57"/>
    <w:semiHidden/>
    <w:rsid w:val="0051725A"/>
    <w:rPr>
      <w:sz w:val="24"/>
      <w:lang w:val="en-GB"/>
    </w:rPr>
  </w:style>
  <w:style w:type="character" w:styleId="FootnoteReference">
    <w:name w:val="footnote reference"/>
    <w:basedOn w:val="DefaultParagraphFont"/>
    <w:uiPriority w:val="99"/>
    <w:semiHidden/>
    <w:rsid w:val="0051725A"/>
    <w:rPr>
      <w:vertAlign w:val="superscript"/>
    </w:rPr>
  </w:style>
  <w:style w:type="paragraph" w:styleId="FootnoteText">
    <w:name w:val="footnote text"/>
    <w:basedOn w:val="Normal"/>
    <w:link w:val="FootnoteTextChar"/>
    <w:uiPriority w:val="99"/>
    <w:semiHidden/>
    <w:rsid w:val="0051725A"/>
    <w:rPr>
      <w:sz w:val="20"/>
      <w:szCs w:val="20"/>
    </w:rPr>
  </w:style>
  <w:style w:type="character" w:customStyle="1" w:styleId="FootnoteTextChar">
    <w:name w:val="Footnote Text Char"/>
    <w:basedOn w:val="DefaultParagraphFont"/>
    <w:link w:val="FootnoteText"/>
    <w:uiPriority w:val="99"/>
    <w:semiHidden/>
    <w:rsid w:val="0051725A"/>
    <w:rPr>
      <w:rFonts w:eastAsiaTheme="minorEastAsia"/>
      <w:sz w:val="20"/>
      <w:szCs w:val="20"/>
      <w:lang w:val="en-GB"/>
    </w:rPr>
  </w:style>
  <w:style w:type="character" w:customStyle="1" w:styleId="Heading6Char">
    <w:name w:val="Heading 6 Char"/>
    <w:basedOn w:val="DefaultParagraphFont"/>
    <w:link w:val="Heading6"/>
    <w:uiPriority w:val="99"/>
    <w:semiHidden/>
    <w:rsid w:val="0051725A"/>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51725A"/>
    <w:rPr>
      <w:rFonts w:asciiTheme="majorHAnsi" w:eastAsiaTheme="majorEastAsia" w:hAnsiTheme="majorHAnsi" w:cstheme="majorBidi"/>
      <w:i/>
      <w:iCs/>
      <w:sz w:val="24"/>
      <w:lang w:val="en-GB" w:bidi="en-US"/>
    </w:rPr>
  </w:style>
  <w:style w:type="character" w:customStyle="1" w:styleId="Heading8Char">
    <w:name w:val="Heading 8 Char"/>
    <w:basedOn w:val="DefaultParagraphFont"/>
    <w:link w:val="Heading8"/>
    <w:uiPriority w:val="99"/>
    <w:semiHidden/>
    <w:rsid w:val="0051725A"/>
    <w:rPr>
      <w:rFonts w:asciiTheme="majorHAnsi" w:eastAsiaTheme="majorEastAsia" w:hAnsiTheme="majorHAnsi" w:cstheme="majorBidi"/>
      <w:sz w:val="20"/>
      <w:szCs w:val="20"/>
      <w:lang w:val="en-GB" w:bidi="en-US"/>
    </w:rPr>
  </w:style>
  <w:style w:type="character" w:customStyle="1" w:styleId="Heading9Char">
    <w:name w:val="Heading 9 Char"/>
    <w:basedOn w:val="DefaultParagraphFont"/>
    <w:link w:val="Heading9"/>
    <w:uiPriority w:val="99"/>
    <w:semiHidden/>
    <w:rsid w:val="0051725A"/>
    <w:rPr>
      <w:rFonts w:asciiTheme="majorHAnsi" w:eastAsiaTheme="majorEastAsia" w:hAnsiTheme="majorHAnsi" w:cstheme="majorBidi"/>
      <w:i/>
      <w:iCs/>
      <w:spacing w:val="5"/>
      <w:sz w:val="20"/>
      <w:szCs w:val="20"/>
      <w:lang w:val="en-GB" w:bidi="en-US"/>
    </w:rPr>
  </w:style>
  <w:style w:type="character" w:styleId="Hyperlink">
    <w:name w:val="Hyperlink"/>
    <w:basedOn w:val="DefaultParagraphFont"/>
    <w:uiPriority w:val="99"/>
    <w:semiHidden/>
    <w:rsid w:val="0051725A"/>
    <w:rPr>
      <w:color w:val="0072BC" w:themeColor="hyperlink"/>
      <w:u w:val="single"/>
    </w:rPr>
  </w:style>
  <w:style w:type="character" w:styleId="IntenseEmphasis">
    <w:name w:val="Intense Emphasis"/>
    <w:uiPriority w:val="99"/>
    <w:semiHidden/>
    <w:qFormat/>
    <w:rsid w:val="0051725A"/>
    <w:rPr>
      <w:b/>
      <w:bCs/>
    </w:rPr>
  </w:style>
  <w:style w:type="paragraph" w:styleId="IntenseQuote">
    <w:name w:val="Intense Quote"/>
    <w:basedOn w:val="Normal"/>
    <w:next w:val="Normal"/>
    <w:link w:val="IntenseQuoteChar"/>
    <w:uiPriority w:val="99"/>
    <w:semiHidden/>
    <w:qFormat/>
    <w:rsid w:val="0051725A"/>
    <w:pPr>
      <w:pBdr>
        <w:bottom w:val="single" w:sz="4" w:space="1" w:color="auto"/>
      </w:pBdr>
      <w:spacing w:before="200" w:after="280"/>
      <w:ind w:left="1008" w:right="1152"/>
    </w:pPr>
    <w:rPr>
      <w:b/>
      <w:bCs/>
      <w:i/>
      <w:iCs/>
      <w:lang w:bidi="en-US"/>
    </w:rPr>
  </w:style>
  <w:style w:type="character" w:customStyle="1" w:styleId="IntenseQuoteChar">
    <w:name w:val="Intense Quote Char"/>
    <w:basedOn w:val="DefaultParagraphFont"/>
    <w:link w:val="IntenseQuote"/>
    <w:uiPriority w:val="99"/>
    <w:semiHidden/>
    <w:rsid w:val="0051725A"/>
    <w:rPr>
      <w:rFonts w:eastAsiaTheme="minorEastAsia"/>
      <w:b/>
      <w:bCs/>
      <w:i/>
      <w:iCs/>
      <w:sz w:val="24"/>
      <w:lang w:val="en-GB" w:bidi="en-US"/>
    </w:rPr>
  </w:style>
  <w:style w:type="character" w:styleId="IntenseReference">
    <w:name w:val="Intense Reference"/>
    <w:uiPriority w:val="99"/>
    <w:semiHidden/>
    <w:qFormat/>
    <w:rsid w:val="0051725A"/>
    <w:rPr>
      <w:smallCaps/>
      <w:spacing w:val="5"/>
      <w:u w:val="single"/>
    </w:rPr>
  </w:style>
  <w:style w:type="paragraph" w:styleId="ListParagraph">
    <w:name w:val="List Paragraph"/>
    <w:basedOn w:val="Normal"/>
    <w:uiPriority w:val="99"/>
    <w:semiHidden/>
    <w:qFormat/>
    <w:rsid w:val="0051725A"/>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51725A"/>
    <w:pPr>
      <w:spacing w:before="200"/>
      <w:ind w:left="360" w:right="360"/>
    </w:pPr>
    <w:rPr>
      <w:i/>
      <w:iCs/>
      <w:lang w:bidi="en-US"/>
    </w:rPr>
  </w:style>
  <w:style w:type="character" w:customStyle="1" w:styleId="QuoteChar">
    <w:name w:val="Quote Char"/>
    <w:basedOn w:val="DefaultParagraphFont"/>
    <w:link w:val="Quote"/>
    <w:uiPriority w:val="99"/>
    <w:semiHidden/>
    <w:rsid w:val="0051725A"/>
    <w:rPr>
      <w:rFonts w:eastAsiaTheme="minorEastAsia"/>
      <w:i/>
      <w:iCs/>
      <w:sz w:val="24"/>
      <w:lang w:val="en-GB" w:bidi="en-US"/>
    </w:rPr>
  </w:style>
  <w:style w:type="character" w:styleId="SubtleReference">
    <w:name w:val="Subtle Reference"/>
    <w:uiPriority w:val="99"/>
    <w:semiHidden/>
    <w:qFormat/>
    <w:rsid w:val="0051725A"/>
    <w:rPr>
      <w:smallCaps/>
    </w:rPr>
  </w:style>
  <w:style w:type="table" w:styleId="TableGrid">
    <w:name w:val="Table Grid"/>
    <w:basedOn w:val="TableNormal"/>
    <w:uiPriority w:val="59"/>
    <w:semiHidden/>
    <w:rsid w:val="0051725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51725A"/>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51725A"/>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51725A"/>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51725A"/>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51725A"/>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51725A"/>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51725A"/>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51725A"/>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51725A"/>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51725A"/>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51725A"/>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51725A"/>
    <w:rPr>
      <w:rFonts w:asciiTheme="majorHAnsi" w:eastAsiaTheme="majorEastAsia" w:hAnsiTheme="majorHAnsi" w:cstheme="majorBidi"/>
      <w:i/>
      <w:iCs/>
      <w:spacing w:val="13"/>
      <w:sz w:val="24"/>
      <w:szCs w:val="24"/>
      <w:lang w:val="en-GB" w:bidi="en-US"/>
    </w:rPr>
  </w:style>
  <w:style w:type="numbering" w:styleId="111111">
    <w:name w:val="Outline List 2"/>
    <w:basedOn w:val="NoList"/>
    <w:uiPriority w:val="99"/>
    <w:semiHidden/>
    <w:unhideWhenUsed/>
    <w:rsid w:val="0051725A"/>
    <w:pPr>
      <w:numPr>
        <w:numId w:val="3"/>
      </w:numPr>
    </w:pPr>
  </w:style>
  <w:style w:type="paragraph" w:customStyle="1" w:styleId="JuPara">
    <w:name w:val="Ju_Para"/>
    <w:aliases w:val="_Para"/>
    <w:basedOn w:val="NormalJustified"/>
    <w:link w:val="JuParaChar"/>
    <w:uiPriority w:val="8"/>
    <w:qFormat/>
    <w:rsid w:val="0051725A"/>
    <w:pPr>
      <w:ind w:firstLine="284"/>
    </w:pPr>
  </w:style>
  <w:style w:type="numbering" w:styleId="1ai">
    <w:name w:val="Outline List 1"/>
    <w:basedOn w:val="NoList"/>
    <w:uiPriority w:val="99"/>
    <w:semiHidden/>
    <w:unhideWhenUsed/>
    <w:rsid w:val="0051725A"/>
    <w:pPr>
      <w:numPr>
        <w:numId w:val="4"/>
      </w:numPr>
    </w:pPr>
  </w:style>
  <w:style w:type="table" w:customStyle="1" w:styleId="ECHRTableSimpleBox">
    <w:name w:val="ECHR_Table_Simple_Box"/>
    <w:basedOn w:val="TableNormal"/>
    <w:uiPriority w:val="99"/>
    <w:rsid w:val="0051725A"/>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51725A"/>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51725A"/>
    <w:pPr>
      <w:numPr>
        <w:numId w:val="5"/>
      </w:numPr>
    </w:pPr>
  </w:style>
  <w:style w:type="table" w:customStyle="1" w:styleId="ECHRTableForInternalUse">
    <w:name w:val="ECHR_Table_For_Internal_Use"/>
    <w:basedOn w:val="TableNormal"/>
    <w:uiPriority w:val="99"/>
    <w:rsid w:val="0051725A"/>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64393B"/>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51725A"/>
  </w:style>
  <w:style w:type="paragraph" w:styleId="BlockText">
    <w:name w:val="Block Text"/>
    <w:basedOn w:val="Normal"/>
    <w:uiPriority w:val="99"/>
    <w:semiHidden/>
    <w:rsid w:val="0051725A"/>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51725A"/>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51725A"/>
    <w:pPr>
      <w:spacing w:after="120"/>
    </w:pPr>
  </w:style>
  <w:style w:type="character" w:customStyle="1" w:styleId="BodyTextChar">
    <w:name w:val="Body Text Char"/>
    <w:basedOn w:val="DefaultParagraphFont"/>
    <w:link w:val="BodyText"/>
    <w:uiPriority w:val="99"/>
    <w:semiHidden/>
    <w:rsid w:val="0051725A"/>
    <w:rPr>
      <w:rFonts w:eastAsiaTheme="minorEastAsia"/>
      <w:sz w:val="24"/>
      <w:lang w:val="en-GB"/>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51725A"/>
    <w:pPr>
      <w:spacing w:after="120" w:line="480" w:lineRule="auto"/>
    </w:pPr>
  </w:style>
  <w:style w:type="table" w:customStyle="1" w:styleId="ECHRHeaderTableReduced">
    <w:name w:val="ECHR_Header_Table_Reduced"/>
    <w:basedOn w:val="TableNormal"/>
    <w:uiPriority w:val="99"/>
    <w:rsid w:val="0051725A"/>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JuPara"/>
    <w:uiPriority w:val="31"/>
    <w:rsid w:val="0051725A"/>
    <w:pPr>
      <w:ind w:firstLine="284"/>
    </w:pPr>
    <w:rPr>
      <w:b/>
    </w:rPr>
  </w:style>
  <w:style w:type="character" w:styleId="PageNumber">
    <w:name w:val="page number"/>
    <w:uiPriority w:val="99"/>
    <w:semiHidden/>
    <w:rsid w:val="0051725A"/>
    <w:rPr>
      <w:sz w:val="18"/>
    </w:rPr>
  </w:style>
  <w:style w:type="paragraph" w:styleId="ListBullet">
    <w:name w:val="List Bullet"/>
    <w:basedOn w:val="Normal"/>
    <w:uiPriority w:val="99"/>
    <w:semiHidden/>
    <w:rsid w:val="0051725A"/>
    <w:pPr>
      <w:numPr>
        <w:numId w:val="9"/>
      </w:numPr>
    </w:pPr>
  </w:style>
  <w:style w:type="paragraph" w:styleId="ListBullet3">
    <w:name w:val="List Bullet 3"/>
    <w:basedOn w:val="Normal"/>
    <w:uiPriority w:val="99"/>
    <w:semiHidden/>
    <w:rsid w:val="0051725A"/>
    <w:pPr>
      <w:numPr>
        <w:numId w:val="11"/>
      </w:numPr>
      <w:contextualSpacing/>
    </w:pPr>
  </w:style>
  <w:style w:type="character" w:customStyle="1" w:styleId="BodyText2Char">
    <w:name w:val="Body Text 2 Char"/>
    <w:basedOn w:val="DefaultParagraphFont"/>
    <w:link w:val="BodyText2"/>
    <w:uiPriority w:val="99"/>
    <w:semiHidden/>
    <w:rsid w:val="0051725A"/>
    <w:rPr>
      <w:rFonts w:eastAsiaTheme="minorEastAsia"/>
      <w:sz w:val="24"/>
      <w:lang w:val="en-GB"/>
    </w:rPr>
  </w:style>
  <w:style w:type="paragraph" w:styleId="BodyText3">
    <w:name w:val="Body Text 3"/>
    <w:basedOn w:val="Normal"/>
    <w:link w:val="BodyText3Char"/>
    <w:uiPriority w:val="99"/>
    <w:semiHidden/>
    <w:rsid w:val="0051725A"/>
    <w:pPr>
      <w:spacing w:after="120"/>
    </w:pPr>
    <w:rPr>
      <w:sz w:val="16"/>
      <w:szCs w:val="16"/>
    </w:rPr>
  </w:style>
  <w:style w:type="character" w:customStyle="1" w:styleId="BodyText3Char">
    <w:name w:val="Body Text 3 Char"/>
    <w:basedOn w:val="DefaultParagraphFont"/>
    <w:link w:val="BodyText3"/>
    <w:uiPriority w:val="99"/>
    <w:semiHidden/>
    <w:rsid w:val="0051725A"/>
    <w:rPr>
      <w:rFonts w:eastAsiaTheme="minorEastAsia"/>
      <w:sz w:val="16"/>
      <w:szCs w:val="16"/>
      <w:lang w:val="en-GB"/>
    </w:rPr>
  </w:style>
  <w:style w:type="paragraph" w:styleId="BodyTextFirstIndent">
    <w:name w:val="Body Text First Indent"/>
    <w:basedOn w:val="BodyText"/>
    <w:link w:val="BodyTextFirstIndentChar"/>
    <w:uiPriority w:val="99"/>
    <w:semiHidden/>
    <w:rsid w:val="0051725A"/>
    <w:pPr>
      <w:spacing w:after="0"/>
      <w:ind w:firstLine="360"/>
    </w:pPr>
  </w:style>
  <w:style w:type="character" w:customStyle="1" w:styleId="BodyTextFirstIndentChar">
    <w:name w:val="Body Text First Indent Char"/>
    <w:basedOn w:val="BodyTextChar"/>
    <w:link w:val="BodyTextFirstIndent"/>
    <w:uiPriority w:val="99"/>
    <w:semiHidden/>
    <w:rsid w:val="0051725A"/>
    <w:rPr>
      <w:rFonts w:eastAsiaTheme="minorEastAsia"/>
      <w:sz w:val="24"/>
      <w:lang w:val="en-GB"/>
    </w:rPr>
  </w:style>
  <w:style w:type="paragraph" w:styleId="BodyTextIndent">
    <w:name w:val="Body Text Indent"/>
    <w:basedOn w:val="Normal"/>
    <w:link w:val="BodyTextIndentChar"/>
    <w:uiPriority w:val="99"/>
    <w:semiHidden/>
    <w:rsid w:val="0051725A"/>
    <w:pPr>
      <w:spacing w:after="120"/>
      <w:ind w:left="283"/>
    </w:pPr>
  </w:style>
  <w:style w:type="character" w:customStyle="1" w:styleId="BodyTextIndentChar">
    <w:name w:val="Body Text Indent Char"/>
    <w:basedOn w:val="DefaultParagraphFont"/>
    <w:link w:val="BodyTextIndent"/>
    <w:uiPriority w:val="99"/>
    <w:semiHidden/>
    <w:rsid w:val="0051725A"/>
    <w:rPr>
      <w:rFonts w:eastAsiaTheme="minorEastAsia"/>
      <w:sz w:val="24"/>
      <w:lang w:val="en-GB"/>
    </w:rPr>
  </w:style>
  <w:style w:type="paragraph" w:styleId="BodyTextFirstIndent2">
    <w:name w:val="Body Text First Indent 2"/>
    <w:basedOn w:val="BodyTextIndent"/>
    <w:link w:val="BodyTextFirstIndent2Char"/>
    <w:uiPriority w:val="99"/>
    <w:semiHidden/>
    <w:rsid w:val="0051725A"/>
    <w:pPr>
      <w:spacing w:after="0"/>
      <w:ind w:left="360" w:firstLine="360"/>
    </w:pPr>
  </w:style>
  <w:style w:type="character" w:customStyle="1" w:styleId="BodyTextFirstIndent2Char">
    <w:name w:val="Body Text First Indent 2 Char"/>
    <w:basedOn w:val="BodyTextIndentChar"/>
    <w:link w:val="BodyTextFirstIndent2"/>
    <w:uiPriority w:val="99"/>
    <w:semiHidden/>
    <w:rsid w:val="0051725A"/>
    <w:rPr>
      <w:rFonts w:eastAsiaTheme="minorEastAsia"/>
      <w:sz w:val="24"/>
      <w:lang w:val="en-GB"/>
    </w:rPr>
  </w:style>
  <w:style w:type="paragraph" w:styleId="BodyTextIndent2">
    <w:name w:val="Body Text Indent 2"/>
    <w:basedOn w:val="Normal"/>
    <w:link w:val="BodyTextIndent2Char"/>
    <w:uiPriority w:val="99"/>
    <w:semiHidden/>
    <w:rsid w:val="0051725A"/>
    <w:pPr>
      <w:spacing w:after="120" w:line="480" w:lineRule="auto"/>
      <w:ind w:left="283"/>
    </w:pPr>
  </w:style>
  <w:style w:type="character" w:customStyle="1" w:styleId="BodyTextIndent2Char">
    <w:name w:val="Body Text Indent 2 Char"/>
    <w:basedOn w:val="DefaultParagraphFont"/>
    <w:link w:val="BodyTextIndent2"/>
    <w:uiPriority w:val="99"/>
    <w:semiHidden/>
    <w:rsid w:val="0051725A"/>
    <w:rPr>
      <w:rFonts w:eastAsiaTheme="minorEastAsia"/>
      <w:sz w:val="24"/>
      <w:lang w:val="en-GB"/>
    </w:rPr>
  </w:style>
  <w:style w:type="paragraph" w:styleId="BodyTextIndent3">
    <w:name w:val="Body Text Indent 3"/>
    <w:basedOn w:val="Normal"/>
    <w:link w:val="BodyTextIndent3Char"/>
    <w:uiPriority w:val="99"/>
    <w:semiHidden/>
    <w:rsid w:val="0051725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1725A"/>
    <w:rPr>
      <w:rFonts w:eastAsiaTheme="minorEastAsia"/>
      <w:sz w:val="16"/>
      <w:szCs w:val="16"/>
      <w:lang w:val="en-GB"/>
    </w:rPr>
  </w:style>
  <w:style w:type="paragraph" w:styleId="Caption">
    <w:name w:val="caption"/>
    <w:basedOn w:val="Normal"/>
    <w:next w:val="Normal"/>
    <w:uiPriority w:val="99"/>
    <w:semiHidden/>
    <w:qFormat/>
    <w:rsid w:val="0051725A"/>
    <w:pPr>
      <w:spacing w:after="200"/>
    </w:pPr>
    <w:rPr>
      <w:b/>
      <w:bCs/>
      <w:color w:val="0072BC" w:themeColor="accent1"/>
      <w:sz w:val="18"/>
      <w:szCs w:val="18"/>
    </w:rPr>
  </w:style>
  <w:style w:type="paragraph" w:styleId="Closing">
    <w:name w:val="Closing"/>
    <w:basedOn w:val="Normal"/>
    <w:link w:val="ClosingChar"/>
    <w:uiPriority w:val="99"/>
    <w:semiHidden/>
    <w:rsid w:val="0051725A"/>
    <w:pPr>
      <w:ind w:left="4252"/>
    </w:pPr>
  </w:style>
  <w:style w:type="character" w:customStyle="1" w:styleId="ClosingChar">
    <w:name w:val="Closing Char"/>
    <w:basedOn w:val="DefaultParagraphFont"/>
    <w:link w:val="Closing"/>
    <w:uiPriority w:val="99"/>
    <w:semiHidden/>
    <w:rsid w:val="0051725A"/>
    <w:rPr>
      <w:rFonts w:eastAsiaTheme="minorEastAsia"/>
      <w:sz w:val="24"/>
      <w:lang w:val="en-GB"/>
    </w:rPr>
  </w:style>
  <w:style w:type="table" w:styleId="ColorfulGrid">
    <w:name w:val="Colorful Grid"/>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semiHidden/>
    <w:rsid w:val="0051725A"/>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semiHidden/>
    <w:rsid w:val="0051725A"/>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51725A"/>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72"/>
    <w:semiHidden/>
    <w:rsid w:val="0051725A"/>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72"/>
    <w:semiHidden/>
    <w:rsid w:val="0051725A"/>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51725A"/>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72"/>
    <w:semiHidden/>
    <w:rsid w:val="0051725A"/>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semiHidden/>
    <w:rsid w:val="0051725A"/>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semiHidden/>
    <w:rsid w:val="0051725A"/>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51725A"/>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51725A"/>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51725A"/>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71"/>
    <w:semiHidden/>
    <w:rsid w:val="0051725A"/>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51725A"/>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51725A"/>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51725A"/>
    <w:rPr>
      <w:sz w:val="16"/>
      <w:szCs w:val="16"/>
    </w:rPr>
  </w:style>
  <w:style w:type="paragraph" w:styleId="CommentText">
    <w:name w:val="annotation text"/>
    <w:basedOn w:val="Normal"/>
    <w:link w:val="CommentTextChar"/>
    <w:semiHidden/>
    <w:rsid w:val="0051725A"/>
    <w:rPr>
      <w:sz w:val="20"/>
      <w:szCs w:val="20"/>
    </w:rPr>
  </w:style>
  <w:style w:type="character" w:customStyle="1" w:styleId="CommentTextChar">
    <w:name w:val="Comment Text Char"/>
    <w:basedOn w:val="DefaultParagraphFont"/>
    <w:link w:val="CommentText"/>
    <w:semiHidden/>
    <w:rsid w:val="0051725A"/>
    <w:rPr>
      <w:rFonts w:eastAsiaTheme="minorEastAsia"/>
      <w:sz w:val="20"/>
      <w:szCs w:val="20"/>
      <w:lang w:val="en-GB"/>
    </w:rPr>
  </w:style>
  <w:style w:type="paragraph" w:styleId="CommentSubject">
    <w:name w:val="annotation subject"/>
    <w:basedOn w:val="CommentText"/>
    <w:next w:val="CommentText"/>
    <w:link w:val="CommentSubjectChar"/>
    <w:uiPriority w:val="99"/>
    <w:semiHidden/>
    <w:rsid w:val="0051725A"/>
    <w:rPr>
      <w:b/>
      <w:bCs/>
    </w:rPr>
  </w:style>
  <w:style w:type="character" w:customStyle="1" w:styleId="CommentSubjectChar">
    <w:name w:val="Comment Subject Char"/>
    <w:basedOn w:val="CommentTextChar"/>
    <w:link w:val="CommentSubject"/>
    <w:uiPriority w:val="99"/>
    <w:semiHidden/>
    <w:rsid w:val="0051725A"/>
    <w:rPr>
      <w:rFonts w:eastAsiaTheme="minorEastAsia"/>
      <w:b/>
      <w:bCs/>
      <w:sz w:val="20"/>
      <w:szCs w:val="20"/>
      <w:lang w:val="en-GB"/>
    </w:rPr>
  </w:style>
  <w:style w:type="table" w:styleId="DarkList">
    <w:name w:val="Dark List"/>
    <w:basedOn w:val="TableNormal"/>
    <w:uiPriority w:val="70"/>
    <w:semiHidden/>
    <w:rsid w:val="0051725A"/>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51725A"/>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70"/>
    <w:semiHidden/>
    <w:rsid w:val="0051725A"/>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70"/>
    <w:semiHidden/>
    <w:rsid w:val="0051725A"/>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70"/>
    <w:semiHidden/>
    <w:rsid w:val="0051725A"/>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70"/>
    <w:semiHidden/>
    <w:rsid w:val="0051725A"/>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semiHidden/>
    <w:rsid w:val="0051725A"/>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51725A"/>
  </w:style>
  <w:style w:type="character" w:customStyle="1" w:styleId="DateChar">
    <w:name w:val="Date Char"/>
    <w:basedOn w:val="DefaultParagraphFont"/>
    <w:link w:val="Date"/>
    <w:uiPriority w:val="99"/>
    <w:semiHidden/>
    <w:rsid w:val="0051725A"/>
    <w:rPr>
      <w:rFonts w:eastAsiaTheme="minorEastAsia"/>
      <w:sz w:val="24"/>
      <w:lang w:val="en-GB"/>
    </w:rPr>
  </w:style>
  <w:style w:type="paragraph" w:styleId="DocumentMap">
    <w:name w:val="Document Map"/>
    <w:basedOn w:val="Normal"/>
    <w:link w:val="DocumentMapChar"/>
    <w:uiPriority w:val="99"/>
    <w:semiHidden/>
    <w:rsid w:val="0051725A"/>
    <w:rPr>
      <w:rFonts w:ascii="Tahoma" w:hAnsi="Tahoma" w:cs="Tahoma"/>
      <w:sz w:val="16"/>
      <w:szCs w:val="16"/>
    </w:rPr>
  </w:style>
  <w:style w:type="character" w:customStyle="1" w:styleId="DocumentMapChar">
    <w:name w:val="Document Map Char"/>
    <w:basedOn w:val="DefaultParagraphFont"/>
    <w:link w:val="DocumentMap"/>
    <w:uiPriority w:val="99"/>
    <w:semiHidden/>
    <w:rsid w:val="0051725A"/>
    <w:rPr>
      <w:rFonts w:ascii="Tahoma" w:eastAsiaTheme="minorEastAsia" w:hAnsi="Tahoma" w:cs="Tahoma"/>
      <w:sz w:val="16"/>
      <w:szCs w:val="16"/>
      <w:lang w:val="en-GB"/>
    </w:rPr>
  </w:style>
  <w:style w:type="paragraph" w:styleId="E-mailSignature">
    <w:name w:val="E-mail Signature"/>
    <w:basedOn w:val="Normal"/>
    <w:link w:val="E-mailSignatureChar"/>
    <w:uiPriority w:val="99"/>
    <w:semiHidden/>
    <w:rsid w:val="0051725A"/>
  </w:style>
  <w:style w:type="character" w:customStyle="1" w:styleId="E-mailSignatureChar">
    <w:name w:val="E-mail Signature Char"/>
    <w:basedOn w:val="DefaultParagraphFont"/>
    <w:link w:val="E-mailSignature"/>
    <w:uiPriority w:val="99"/>
    <w:semiHidden/>
    <w:rsid w:val="0051725A"/>
    <w:rPr>
      <w:rFonts w:eastAsiaTheme="minorEastAsia"/>
      <w:sz w:val="24"/>
      <w:lang w:val="en-GB"/>
    </w:rPr>
  </w:style>
  <w:style w:type="character" w:styleId="EndnoteReference">
    <w:name w:val="endnote reference"/>
    <w:basedOn w:val="DefaultParagraphFont"/>
    <w:uiPriority w:val="99"/>
    <w:semiHidden/>
    <w:rsid w:val="0051725A"/>
    <w:rPr>
      <w:vertAlign w:val="superscript"/>
    </w:rPr>
  </w:style>
  <w:style w:type="paragraph" w:styleId="EndnoteText">
    <w:name w:val="endnote text"/>
    <w:basedOn w:val="Normal"/>
    <w:link w:val="EndnoteTextChar"/>
    <w:uiPriority w:val="99"/>
    <w:semiHidden/>
    <w:rsid w:val="0051725A"/>
    <w:rPr>
      <w:sz w:val="20"/>
      <w:szCs w:val="20"/>
    </w:rPr>
  </w:style>
  <w:style w:type="character" w:customStyle="1" w:styleId="EndnoteTextChar">
    <w:name w:val="Endnote Text Char"/>
    <w:basedOn w:val="DefaultParagraphFont"/>
    <w:link w:val="EndnoteText"/>
    <w:uiPriority w:val="99"/>
    <w:semiHidden/>
    <w:rsid w:val="0051725A"/>
    <w:rPr>
      <w:rFonts w:eastAsiaTheme="minorEastAsia"/>
      <w:sz w:val="20"/>
      <w:szCs w:val="20"/>
      <w:lang w:val="en-GB"/>
    </w:rPr>
  </w:style>
  <w:style w:type="paragraph" w:styleId="EnvelopeAddress">
    <w:name w:val="envelope address"/>
    <w:basedOn w:val="Normal"/>
    <w:uiPriority w:val="99"/>
    <w:semiHidden/>
    <w:rsid w:val="0051725A"/>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51725A"/>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51725A"/>
    <w:rPr>
      <w:color w:val="7030A0" w:themeColor="followedHyperlink"/>
      <w:u w:val="single"/>
    </w:rPr>
  </w:style>
  <w:style w:type="character" w:styleId="HTMLAcronym">
    <w:name w:val="HTML Acronym"/>
    <w:basedOn w:val="DefaultParagraphFont"/>
    <w:uiPriority w:val="99"/>
    <w:semiHidden/>
    <w:rsid w:val="0051725A"/>
  </w:style>
  <w:style w:type="paragraph" w:styleId="HTMLAddress">
    <w:name w:val="HTML Address"/>
    <w:basedOn w:val="Normal"/>
    <w:link w:val="HTMLAddressChar"/>
    <w:uiPriority w:val="99"/>
    <w:semiHidden/>
    <w:rsid w:val="0051725A"/>
    <w:rPr>
      <w:i/>
      <w:iCs/>
    </w:rPr>
  </w:style>
  <w:style w:type="character" w:customStyle="1" w:styleId="HTMLAddressChar">
    <w:name w:val="HTML Address Char"/>
    <w:basedOn w:val="DefaultParagraphFont"/>
    <w:link w:val="HTMLAddress"/>
    <w:uiPriority w:val="99"/>
    <w:semiHidden/>
    <w:rsid w:val="0051725A"/>
    <w:rPr>
      <w:rFonts w:eastAsiaTheme="minorEastAsia"/>
      <w:i/>
      <w:iCs/>
      <w:sz w:val="24"/>
      <w:lang w:val="en-GB"/>
    </w:rPr>
  </w:style>
  <w:style w:type="character" w:styleId="HTMLCite">
    <w:name w:val="HTML Cite"/>
    <w:basedOn w:val="DefaultParagraphFont"/>
    <w:uiPriority w:val="99"/>
    <w:semiHidden/>
    <w:rsid w:val="0051725A"/>
    <w:rPr>
      <w:i/>
      <w:iCs/>
    </w:rPr>
  </w:style>
  <w:style w:type="character" w:styleId="HTMLCode">
    <w:name w:val="HTML Code"/>
    <w:basedOn w:val="DefaultParagraphFont"/>
    <w:uiPriority w:val="99"/>
    <w:semiHidden/>
    <w:rsid w:val="0051725A"/>
    <w:rPr>
      <w:rFonts w:ascii="Consolas" w:hAnsi="Consolas" w:cs="Consolas"/>
      <w:sz w:val="20"/>
      <w:szCs w:val="20"/>
    </w:rPr>
  </w:style>
  <w:style w:type="character" w:styleId="HTMLDefinition">
    <w:name w:val="HTML Definition"/>
    <w:basedOn w:val="DefaultParagraphFont"/>
    <w:uiPriority w:val="99"/>
    <w:semiHidden/>
    <w:rsid w:val="0051725A"/>
    <w:rPr>
      <w:i/>
      <w:iCs/>
    </w:rPr>
  </w:style>
  <w:style w:type="character" w:styleId="HTMLKeyboard">
    <w:name w:val="HTML Keyboard"/>
    <w:basedOn w:val="DefaultParagraphFont"/>
    <w:uiPriority w:val="99"/>
    <w:semiHidden/>
    <w:rsid w:val="0051725A"/>
    <w:rPr>
      <w:rFonts w:ascii="Consolas" w:hAnsi="Consolas" w:cs="Consolas"/>
      <w:sz w:val="20"/>
      <w:szCs w:val="20"/>
    </w:rPr>
  </w:style>
  <w:style w:type="paragraph" w:styleId="HTMLPreformatted">
    <w:name w:val="HTML Preformatted"/>
    <w:basedOn w:val="Normal"/>
    <w:link w:val="HTMLPreformattedChar"/>
    <w:uiPriority w:val="99"/>
    <w:semiHidden/>
    <w:rsid w:val="0051725A"/>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1725A"/>
    <w:rPr>
      <w:rFonts w:ascii="Consolas" w:eastAsiaTheme="minorEastAsia" w:hAnsi="Consolas" w:cs="Consolas"/>
      <w:sz w:val="20"/>
      <w:szCs w:val="20"/>
      <w:lang w:val="en-GB"/>
    </w:rPr>
  </w:style>
  <w:style w:type="character" w:styleId="HTMLSample">
    <w:name w:val="HTML Sample"/>
    <w:basedOn w:val="DefaultParagraphFont"/>
    <w:uiPriority w:val="99"/>
    <w:semiHidden/>
    <w:rsid w:val="0051725A"/>
    <w:rPr>
      <w:rFonts w:ascii="Consolas" w:hAnsi="Consolas" w:cs="Consolas"/>
      <w:sz w:val="24"/>
      <w:szCs w:val="24"/>
    </w:rPr>
  </w:style>
  <w:style w:type="character" w:styleId="HTMLTypewriter">
    <w:name w:val="HTML Typewriter"/>
    <w:basedOn w:val="DefaultParagraphFont"/>
    <w:uiPriority w:val="99"/>
    <w:semiHidden/>
    <w:rsid w:val="0051725A"/>
    <w:rPr>
      <w:rFonts w:ascii="Consolas" w:hAnsi="Consolas" w:cs="Consolas"/>
      <w:sz w:val="20"/>
      <w:szCs w:val="20"/>
    </w:rPr>
  </w:style>
  <w:style w:type="character" w:styleId="HTMLVariable">
    <w:name w:val="HTML Variable"/>
    <w:basedOn w:val="DefaultParagraphFont"/>
    <w:uiPriority w:val="99"/>
    <w:semiHidden/>
    <w:rsid w:val="0051725A"/>
    <w:rPr>
      <w:i/>
      <w:iCs/>
    </w:rPr>
  </w:style>
  <w:style w:type="paragraph" w:styleId="Index1">
    <w:name w:val="index 1"/>
    <w:basedOn w:val="Normal"/>
    <w:next w:val="Normal"/>
    <w:autoRedefine/>
    <w:uiPriority w:val="99"/>
    <w:semiHidden/>
    <w:rsid w:val="0051725A"/>
    <w:pPr>
      <w:ind w:left="240" w:hanging="240"/>
    </w:pPr>
  </w:style>
  <w:style w:type="paragraph" w:styleId="Index2">
    <w:name w:val="index 2"/>
    <w:basedOn w:val="Normal"/>
    <w:next w:val="Normal"/>
    <w:autoRedefine/>
    <w:uiPriority w:val="99"/>
    <w:semiHidden/>
    <w:rsid w:val="0051725A"/>
    <w:pPr>
      <w:ind w:left="480" w:hanging="240"/>
    </w:pPr>
  </w:style>
  <w:style w:type="paragraph" w:styleId="Index3">
    <w:name w:val="index 3"/>
    <w:basedOn w:val="Normal"/>
    <w:next w:val="Normal"/>
    <w:autoRedefine/>
    <w:uiPriority w:val="99"/>
    <w:semiHidden/>
    <w:rsid w:val="0051725A"/>
    <w:pPr>
      <w:ind w:left="720" w:hanging="240"/>
    </w:pPr>
  </w:style>
  <w:style w:type="paragraph" w:styleId="Index4">
    <w:name w:val="index 4"/>
    <w:basedOn w:val="Normal"/>
    <w:next w:val="Normal"/>
    <w:autoRedefine/>
    <w:uiPriority w:val="99"/>
    <w:semiHidden/>
    <w:rsid w:val="0051725A"/>
    <w:pPr>
      <w:ind w:left="960" w:hanging="240"/>
    </w:pPr>
  </w:style>
  <w:style w:type="paragraph" w:styleId="Index5">
    <w:name w:val="index 5"/>
    <w:basedOn w:val="Normal"/>
    <w:next w:val="Normal"/>
    <w:autoRedefine/>
    <w:uiPriority w:val="99"/>
    <w:semiHidden/>
    <w:rsid w:val="0051725A"/>
    <w:pPr>
      <w:ind w:left="1200" w:hanging="240"/>
    </w:pPr>
  </w:style>
  <w:style w:type="paragraph" w:styleId="Index6">
    <w:name w:val="index 6"/>
    <w:basedOn w:val="Normal"/>
    <w:next w:val="Normal"/>
    <w:autoRedefine/>
    <w:uiPriority w:val="99"/>
    <w:semiHidden/>
    <w:rsid w:val="0051725A"/>
    <w:pPr>
      <w:ind w:left="1440" w:hanging="240"/>
    </w:pPr>
  </w:style>
  <w:style w:type="paragraph" w:styleId="Index7">
    <w:name w:val="index 7"/>
    <w:basedOn w:val="Normal"/>
    <w:next w:val="Normal"/>
    <w:autoRedefine/>
    <w:uiPriority w:val="99"/>
    <w:semiHidden/>
    <w:rsid w:val="0051725A"/>
    <w:pPr>
      <w:ind w:left="1680" w:hanging="240"/>
    </w:pPr>
  </w:style>
  <w:style w:type="paragraph" w:styleId="Index8">
    <w:name w:val="index 8"/>
    <w:basedOn w:val="Normal"/>
    <w:next w:val="Normal"/>
    <w:autoRedefine/>
    <w:uiPriority w:val="99"/>
    <w:semiHidden/>
    <w:rsid w:val="0051725A"/>
    <w:pPr>
      <w:ind w:left="1920" w:hanging="240"/>
    </w:pPr>
  </w:style>
  <w:style w:type="paragraph" w:styleId="Index9">
    <w:name w:val="index 9"/>
    <w:basedOn w:val="Normal"/>
    <w:next w:val="Normal"/>
    <w:autoRedefine/>
    <w:uiPriority w:val="99"/>
    <w:semiHidden/>
    <w:rsid w:val="0051725A"/>
    <w:pPr>
      <w:ind w:left="2160" w:hanging="240"/>
    </w:pPr>
  </w:style>
  <w:style w:type="paragraph" w:styleId="IndexHeading">
    <w:name w:val="index heading"/>
    <w:basedOn w:val="Normal"/>
    <w:next w:val="Index1"/>
    <w:uiPriority w:val="99"/>
    <w:semiHidden/>
    <w:rsid w:val="0051725A"/>
    <w:rPr>
      <w:rFonts w:asciiTheme="majorHAnsi" w:eastAsiaTheme="majorEastAsia" w:hAnsiTheme="majorHAnsi" w:cstheme="majorBidi"/>
      <w:b/>
      <w:bCs/>
    </w:rPr>
  </w:style>
  <w:style w:type="table" w:styleId="LightGrid">
    <w:name w:val="Light Grid"/>
    <w:basedOn w:val="TableNormal"/>
    <w:uiPriority w:val="62"/>
    <w:semiHidden/>
    <w:rsid w:val="0051725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51725A"/>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62"/>
    <w:semiHidden/>
    <w:rsid w:val="0051725A"/>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62"/>
    <w:semiHidden/>
    <w:rsid w:val="0051725A"/>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62"/>
    <w:semiHidden/>
    <w:rsid w:val="0051725A"/>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62"/>
    <w:semiHidden/>
    <w:rsid w:val="0051725A"/>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semiHidden/>
    <w:rsid w:val="0051725A"/>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semiHidden/>
    <w:rsid w:val="0051725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51725A"/>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61"/>
    <w:semiHidden/>
    <w:rsid w:val="0051725A"/>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61"/>
    <w:semiHidden/>
    <w:rsid w:val="0051725A"/>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61"/>
    <w:semiHidden/>
    <w:rsid w:val="0051725A"/>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61"/>
    <w:semiHidden/>
    <w:rsid w:val="0051725A"/>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semiHidden/>
    <w:rsid w:val="0051725A"/>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semiHidden/>
    <w:rsid w:val="0051725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51725A"/>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60"/>
    <w:semiHidden/>
    <w:rsid w:val="0051725A"/>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60"/>
    <w:semiHidden/>
    <w:rsid w:val="0051725A"/>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60"/>
    <w:semiHidden/>
    <w:rsid w:val="0051725A"/>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60"/>
    <w:semiHidden/>
    <w:rsid w:val="0051725A"/>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semiHidden/>
    <w:rsid w:val="0051725A"/>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51725A"/>
  </w:style>
  <w:style w:type="paragraph" w:styleId="List">
    <w:name w:val="List"/>
    <w:basedOn w:val="Normal"/>
    <w:uiPriority w:val="99"/>
    <w:semiHidden/>
    <w:rsid w:val="0051725A"/>
    <w:pPr>
      <w:ind w:left="283" w:hanging="283"/>
      <w:contextualSpacing/>
    </w:pPr>
  </w:style>
  <w:style w:type="paragraph" w:styleId="List2">
    <w:name w:val="List 2"/>
    <w:basedOn w:val="Normal"/>
    <w:uiPriority w:val="99"/>
    <w:semiHidden/>
    <w:rsid w:val="0051725A"/>
    <w:pPr>
      <w:ind w:left="566" w:hanging="283"/>
      <w:contextualSpacing/>
    </w:pPr>
  </w:style>
  <w:style w:type="paragraph" w:styleId="List3">
    <w:name w:val="List 3"/>
    <w:basedOn w:val="Normal"/>
    <w:uiPriority w:val="99"/>
    <w:semiHidden/>
    <w:rsid w:val="0051725A"/>
    <w:pPr>
      <w:ind w:left="849" w:hanging="283"/>
      <w:contextualSpacing/>
    </w:pPr>
  </w:style>
  <w:style w:type="paragraph" w:styleId="List4">
    <w:name w:val="List 4"/>
    <w:basedOn w:val="Normal"/>
    <w:uiPriority w:val="99"/>
    <w:semiHidden/>
    <w:rsid w:val="0051725A"/>
    <w:pPr>
      <w:ind w:left="1132" w:hanging="283"/>
      <w:contextualSpacing/>
    </w:pPr>
  </w:style>
  <w:style w:type="paragraph" w:styleId="List5">
    <w:name w:val="List 5"/>
    <w:basedOn w:val="Normal"/>
    <w:uiPriority w:val="99"/>
    <w:semiHidden/>
    <w:rsid w:val="0051725A"/>
    <w:pPr>
      <w:ind w:left="1415" w:hanging="283"/>
      <w:contextualSpacing/>
    </w:pPr>
  </w:style>
  <w:style w:type="paragraph" w:styleId="ListBullet2">
    <w:name w:val="List Bullet 2"/>
    <w:basedOn w:val="Normal"/>
    <w:uiPriority w:val="99"/>
    <w:semiHidden/>
    <w:rsid w:val="0051725A"/>
    <w:pPr>
      <w:numPr>
        <w:numId w:val="10"/>
      </w:numPr>
      <w:contextualSpacing/>
    </w:pPr>
  </w:style>
  <w:style w:type="paragraph" w:styleId="ListBullet4">
    <w:name w:val="List Bullet 4"/>
    <w:basedOn w:val="Normal"/>
    <w:uiPriority w:val="99"/>
    <w:semiHidden/>
    <w:rsid w:val="0051725A"/>
    <w:pPr>
      <w:numPr>
        <w:numId w:val="12"/>
      </w:numPr>
      <w:contextualSpacing/>
    </w:pPr>
  </w:style>
  <w:style w:type="paragraph" w:styleId="ListBullet5">
    <w:name w:val="List Bullet 5"/>
    <w:basedOn w:val="Normal"/>
    <w:uiPriority w:val="99"/>
    <w:semiHidden/>
    <w:rsid w:val="0051725A"/>
    <w:pPr>
      <w:numPr>
        <w:numId w:val="13"/>
      </w:numPr>
      <w:contextualSpacing/>
    </w:pPr>
  </w:style>
  <w:style w:type="paragraph" w:styleId="ListContinue">
    <w:name w:val="List Continue"/>
    <w:basedOn w:val="Normal"/>
    <w:uiPriority w:val="99"/>
    <w:semiHidden/>
    <w:rsid w:val="0051725A"/>
    <w:pPr>
      <w:spacing w:after="120"/>
      <w:ind w:left="283"/>
      <w:contextualSpacing/>
    </w:pPr>
  </w:style>
  <w:style w:type="paragraph" w:styleId="ListContinue2">
    <w:name w:val="List Continue 2"/>
    <w:basedOn w:val="Normal"/>
    <w:uiPriority w:val="99"/>
    <w:semiHidden/>
    <w:rsid w:val="0051725A"/>
    <w:pPr>
      <w:spacing w:after="120"/>
      <w:ind w:left="566"/>
      <w:contextualSpacing/>
    </w:pPr>
  </w:style>
  <w:style w:type="paragraph" w:styleId="ListContinue3">
    <w:name w:val="List Continue 3"/>
    <w:basedOn w:val="Normal"/>
    <w:uiPriority w:val="99"/>
    <w:semiHidden/>
    <w:rsid w:val="0051725A"/>
    <w:pPr>
      <w:spacing w:after="120"/>
      <w:ind w:left="849"/>
      <w:contextualSpacing/>
    </w:pPr>
  </w:style>
  <w:style w:type="paragraph" w:styleId="ListContinue4">
    <w:name w:val="List Continue 4"/>
    <w:basedOn w:val="Normal"/>
    <w:uiPriority w:val="99"/>
    <w:semiHidden/>
    <w:rsid w:val="0051725A"/>
    <w:pPr>
      <w:spacing w:after="120"/>
      <w:ind w:left="1132"/>
      <w:contextualSpacing/>
    </w:pPr>
  </w:style>
  <w:style w:type="paragraph" w:styleId="ListContinue5">
    <w:name w:val="List Continue 5"/>
    <w:basedOn w:val="Normal"/>
    <w:uiPriority w:val="99"/>
    <w:semiHidden/>
    <w:rsid w:val="0051725A"/>
    <w:pPr>
      <w:spacing w:after="120"/>
      <w:ind w:left="1415"/>
      <w:contextualSpacing/>
    </w:pPr>
  </w:style>
  <w:style w:type="paragraph" w:styleId="ListNumber">
    <w:name w:val="List Number"/>
    <w:basedOn w:val="Normal"/>
    <w:uiPriority w:val="99"/>
    <w:semiHidden/>
    <w:rsid w:val="0051725A"/>
    <w:pPr>
      <w:numPr>
        <w:numId w:val="14"/>
      </w:numPr>
      <w:contextualSpacing/>
    </w:pPr>
  </w:style>
  <w:style w:type="paragraph" w:styleId="ListNumber2">
    <w:name w:val="List Number 2"/>
    <w:basedOn w:val="Normal"/>
    <w:uiPriority w:val="99"/>
    <w:semiHidden/>
    <w:rsid w:val="0051725A"/>
    <w:pPr>
      <w:numPr>
        <w:numId w:val="15"/>
      </w:numPr>
      <w:contextualSpacing/>
    </w:pPr>
  </w:style>
  <w:style w:type="paragraph" w:styleId="ListNumber3">
    <w:name w:val="List Number 3"/>
    <w:basedOn w:val="Normal"/>
    <w:uiPriority w:val="99"/>
    <w:semiHidden/>
    <w:rsid w:val="0051725A"/>
    <w:pPr>
      <w:numPr>
        <w:numId w:val="16"/>
      </w:numPr>
      <w:contextualSpacing/>
    </w:pPr>
  </w:style>
  <w:style w:type="paragraph" w:styleId="ListNumber4">
    <w:name w:val="List Number 4"/>
    <w:basedOn w:val="Normal"/>
    <w:uiPriority w:val="99"/>
    <w:semiHidden/>
    <w:rsid w:val="0051725A"/>
    <w:pPr>
      <w:numPr>
        <w:numId w:val="17"/>
      </w:numPr>
      <w:contextualSpacing/>
    </w:pPr>
  </w:style>
  <w:style w:type="paragraph" w:styleId="ListNumber5">
    <w:name w:val="List Number 5"/>
    <w:basedOn w:val="Normal"/>
    <w:uiPriority w:val="99"/>
    <w:semiHidden/>
    <w:rsid w:val="0051725A"/>
    <w:pPr>
      <w:numPr>
        <w:numId w:val="18"/>
      </w:numPr>
      <w:contextualSpacing/>
    </w:pPr>
  </w:style>
  <w:style w:type="paragraph" w:styleId="MacroText">
    <w:name w:val="macro"/>
    <w:link w:val="MacroTextChar"/>
    <w:uiPriority w:val="99"/>
    <w:semiHidden/>
    <w:rsid w:val="0051725A"/>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51725A"/>
    <w:rPr>
      <w:rFonts w:ascii="Consolas" w:eastAsiaTheme="minorEastAsia" w:hAnsi="Consolas" w:cs="Consolas"/>
      <w:sz w:val="20"/>
      <w:szCs w:val="20"/>
    </w:rPr>
  </w:style>
  <w:style w:type="table" w:styleId="MediumGrid1">
    <w:name w:val="Medium Grid 1"/>
    <w:basedOn w:val="TableNormal"/>
    <w:uiPriority w:val="67"/>
    <w:semiHidden/>
    <w:rsid w:val="0051725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51725A"/>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67"/>
    <w:semiHidden/>
    <w:rsid w:val="0051725A"/>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67"/>
    <w:semiHidden/>
    <w:rsid w:val="0051725A"/>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67"/>
    <w:semiHidden/>
    <w:rsid w:val="0051725A"/>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51725A"/>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semiHidden/>
    <w:rsid w:val="0051725A"/>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68"/>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69"/>
    <w:semiHidden/>
    <w:rsid w:val="0051725A"/>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65"/>
    <w:semiHidden/>
    <w:rsid w:val="0051725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51725A"/>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65"/>
    <w:semiHidden/>
    <w:rsid w:val="0051725A"/>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65"/>
    <w:semiHidden/>
    <w:rsid w:val="0051725A"/>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65"/>
    <w:semiHidden/>
    <w:rsid w:val="0051725A"/>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65"/>
    <w:semiHidden/>
    <w:rsid w:val="0051725A"/>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semiHidden/>
    <w:rsid w:val="0051725A"/>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51725A"/>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63"/>
    <w:semiHidden/>
    <w:rsid w:val="0051725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51725A"/>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51725A"/>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51725A"/>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51725A"/>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51725A"/>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51725A"/>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5172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51725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1725A"/>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rsid w:val="0051725A"/>
    <w:rPr>
      <w:rFonts w:ascii="Times New Roman" w:hAnsi="Times New Roman" w:cs="Times New Roman"/>
      <w:szCs w:val="24"/>
    </w:rPr>
  </w:style>
  <w:style w:type="paragraph" w:styleId="NormalIndent">
    <w:name w:val="Normal Indent"/>
    <w:basedOn w:val="Normal"/>
    <w:uiPriority w:val="99"/>
    <w:semiHidden/>
    <w:rsid w:val="0051725A"/>
    <w:pPr>
      <w:ind w:left="720"/>
    </w:pPr>
  </w:style>
  <w:style w:type="paragraph" w:styleId="NoteHeading">
    <w:name w:val="Note Heading"/>
    <w:basedOn w:val="Normal"/>
    <w:next w:val="Normal"/>
    <w:link w:val="NoteHeadingChar"/>
    <w:uiPriority w:val="99"/>
    <w:semiHidden/>
    <w:rsid w:val="0051725A"/>
  </w:style>
  <w:style w:type="character" w:customStyle="1" w:styleId="NoteHeadingChar">
    <w:name w:val="Note Heading Char"/>
    <w:basedOn w:val="DefaultParagraphFont"/>
    <w:link w:val="NoteHeading"/>
    <w:uiPriority w:val="99"/>
    <w:semiHidden/>
    <w:rsid w:val="0051725A"/>
    <w:rPr>
      <w:rFonts w:eastAsiaTheme="minorEastAsia"/>
      <w:sz w:val="24"/>
      <w:lang w:val="en-GB"/>
    </w:rPr>
  </w:style>
  <w:style w:type="character" w:styleId="PlaceholderText">
    <w:name w:val="Placeholder Text"/>
    <w:basedOn w:val="DefaultParagraphFont"/>
    <w:uiPriority w:val="99"/>
    <w:semiHidden/>
    <w:rsid w:val="0051725A"/>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51725A"/>
    <w:rPr>
      <w:rFonts w:ascii="Consolas" w:hAnsi="Consolas" w:cs="Consolas"/>
      <w:sz w:val="21"/>
      <w:szCs w:val="21"/>
    </w:rPr>
  </w:style>
  <w:style w:type="character" w:customStyle="1" w:styleId="PlainTextChar">
    <w:name w:val="Plain Text Char"/>
    <w:basedOn w:val="DefaultParagraphFont"/>
    <w:link w:val="PlainText"/>
    <w:uiPriority w:val="99"/>
    <w:semiHidden/>
    <w:rsid w:val="0051725A"/>
    <w:rPr>
      <w:rFonts w:ascii="Consolas" w:eastAsiaTheme="minorEastAsia" w:hAnsi="Consolas" w:cs="Consolas"/>
      <w:sz w:val="21"/>
      <w:szCs w:val="21"/>
      <w:lang w:val="en-GB"/>
    </w:rPr>
  </w:style>
  <w:style w:type="paragraph" w:styleId="Salutation">
    <w:name w:val="Salutation"/>
    <w:basedOn w:val="Normal"/>
    <w:next w:val="Normal"/>
    <w:link w:val="SalutationChar"/>
    <w:uiPriority w:val="99"/>
    <w:semiHidden/>
    <w:rsid w:val="0051725A"/>
  </w:style>
  <w:style w:type="character" w:customStyle="1" w:styleId="SalutationChar">
    <w:name w:val="Salutation Char"/>
    <w:basedOn w:val="DefaultParagraphFont"/>
    <w:link w:val="Salutation"/>
    <w:uiPriority w:val="99"/>
    <w:semiHidden/>
    <w:rsid w:val="0051725A"/>
    <w:rPr>
      <w:rFonts w:eastAsiaTheme="minorEastAsia"/>
      <w:sz w:val="24"/>
      <w:lang w:val="en-GB"/>
    </w:rPr>
  </w:style>
  <w:style w:type="paragraph" w:styleId="Signature">
    <w:name w:val="Signature"/>
    <w:basedOn w:val="Normal"/>
    <w:link w:val="SignatureChar"/>
    <w:uiPriority w:val="99"/>
    <w:semiHidden/>
    <w:rsid w:val="0051725A"/>
    <w:pPr>
      <w:ind w:left="4252"/>
    </w:pPr>
  </w:style>
  <w:style w:type="character" w:customStyle="1" w:styleId="SignatureChar">
    <w:name w:val="Signature Char"/>
    <w:basedOn w:val="DefaultParagraphFont"/>
    <w:link w:val="Signature"/>
    <w:uiPriority w:val="99"/>
    <w:semiHidden/>
    <w:rsid w:val="0051725A"/>
    <w:rPr>
      <w:rFonts w:eastAsiaTheme="minorEastAsia"/>
      <w:sz w:val="24"/>
      <w:lang w:val="en-GB"/>
    </w:rPr>
  </w:style>
  <w:style w:type="table" w:styleId="Table3Deffects1">
    <w:name w:val="Table 3D effects 1"/>
    <w:basedOn w:val="TableNormal"/>
    <w:uiPriority w:val="99"/>
    <w:semiHidden/>
    <w:unhideWhenUsed/>
    <w:rsid w:val="0051725A"/>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1725A"/>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1725A"/>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1725A"/>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1725A"/>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1725A"/>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1725A"/>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1725A"/>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1725A"/>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1725A"/>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1725A"/>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1725A"/>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1725A"/>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1725A"/>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1725A"/>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1725A"/>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1725A"/>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51725A"/>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51725A"/>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1725A"/>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1725A"/>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1725A"/>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1725A"/>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1725A"/>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1725A"/>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1725A"/>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1725A"/>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1725A"/>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1725A"/>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1725A"/>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1725A"/>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1725A"/>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1725A"/>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51725A"/>
    <w:pPr>
      <w:ind w:left="240" w:hanging="240"/>
    </w:pPr>
  </w:style>
  <w:style w:type="paragraph" w:styleId="TableofFigures">
    <w:name w:val="table of figures"/>
    <w:basedOn w:val="Normal"/>
    <w:next w:val="Normal"/>
    <w:uiPriority w:val="99"/>
    <w:semiHidden/>
    <w:rsid w:val="0051725A"/>
  </w:style>
  <w:style w:type="table" w:styleId="TableProfessional">
    <w:name w:val="Table Professional"/>
    <w:basedOn w:val="TableNormal"/>
    <w:uiPriority w:val="99"/>
    <w:semiHidden/>
    <w:unhideWhenUsed/>
    <w:rsid w:val="0051725A"/>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1725A"/>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1725A"/>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1725A"/>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1725A"/>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1725A"/>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1725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1725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1725A"/>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1725A"/>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51725A"/>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51725A"/>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51725A"/>
    <w:pPr>
      <w:spacing w:after="100"/>
      <w:ind w:left="1680"/>
    </w:pPr>
  </w:style>
  <w:style w:type="paragraph" w:styleId="TOC9">
    <w:name w:val="toc 9"/>
    <w:basedOn w:val="Normal"/>
    <w:next w:val="Normal"/>
    <w:autoRedefine/>
    <w:uiPriority w:val="99"/>
    <w:semiHidden/>
    <w:rsid w:val="0051725A"/>
    <w:pPr>
      <w:spacing w:after="100"/>
      <w:ind w:left="1920"/>
    </w:pPr>
  </w:style>
  <w:style w:type="paragraph" w:customStyle="1" w:styleId="ECHRFooter">
    <w:name w:val="ECHR_Footer"/>
    <w:aliases w:val="Footer_ECHR"/>
    <w:basedOn w:val="Footer0"/>
    <w:uiPriority w:val="57"/>
    <w:semiHidden/>
    <w:rsid w:val="0064393B"/>
    <w:rPr>
      <w:sz w:val="8"/>
    </w:rPr>
  </w:style>
  <w:style w:type="paragraph" w:customStyle="1" w:styleId="FooterLine">
    <w:name w:val="_Footer_Line"/>
    <w:aliases w:val="Footer_Line"/>
    <w:basedOn w:val="Normal"/>
    <w:next w:val="Footer"/>
    <w:uiPriority w:val="57"/>
    <w:semiHidden/>
    <w:rsid w:val="0051725A"/>
    <w:pPr>
      <w:pBdr>
        <w:top w:val="single" w:sz="6" w:space="1" w:color="5F5F5F"/>
      </w:pBdr>
      <w:tabs>
        <w:tab w:val="center" w:pos="4536"/>
        <w:tab w:val="right" w:pos="9696"/>
      </w:tabs>
      <w:ind w:left="-680" w:right="-680"/>
    </w:pPr>
    <w:rPr>
      <w:color w:val="5F5F5F"/>
    </w:rPr>
  </w:style>
  <w:style w:type="paragraph" w:customStyle="1" w:styleId="DecHCase">
    <w:name w:val="Dec_H_Case"/>
    <w:aliases w:val="_Title_3"/>
    <w:basedOn w:val="JuPara"/>
    <w:next w:val="JuPara"/>
    <w:uiPriority w:val="35"/>
    <w:qFormat/>
    <w:rsid w:val="0051725A"/>
    <w:pPr>
      <w:keepNext/>
      <w:keepLines/>
      <w:spacing w:after="280"/>
      <w:ind w:firstLine="0"/>
      <w:jc w:val="center"/>
    </w:pPr>
    <w:rPr>
      <w:rFonts w:asciiTheme="majorHAnsi" w:hAnsiTheme="majorHAnsi"/>
    </w:rPr>
  </w:style>
  <w:style w:type="paragraph" w:customStyle="1" w:styleId="JuHeaderLandscape">
    <w:name w:val="Ju_Header_Landscape"/>
    <w:aliases w:val="_Header_Landscape"/>
    <w:basedOn w:val="JuHeader"/>
    <w:uiPriority w:val="30"/>
    <w:qFormat/>
    <w:rsid w:val="0051725A"/>
    <w:pPr>
      <w:tabs>
        <w:tab w:val="clear" w:pos="3686"/>
        <w:tab w:val="clear" w:pos="7371"/>
        <w:tab w:val="center" w:pos="6146"/>
        <w:tab w:val="right" w:pos="12293"/>
      </w:tabs>
    </w:pPr>
  </w:style>
  <w:style w:type="paragraph" w:customStyle="1" w:styleId="JuTitle">
    <w:name w:val="Ju_Title"/>
    <w:aliases w:val="_Title_2"/>
    <w:basedOn w:val="Normal"/>
    <w:next w:val="JuPara"/>
    <w:uiPriority w:val="35"/>
    <w:qFormat/>
    <w:rsid w:val="0051725A"/>
    <w:pPr>
      <w:keepNext/>
      <w:keepLines/>
      <w:spacing w:before="1320" w:after="280"/>
      <w:contextualSpacing/>
      <w:jc w:val="center"/>
    </w:pPr>
    <w:rPr>
      <w:rFonts w:eastAsiaTheme="minorHAnsi"/>
      <w:b/>
    </w:rPr>
  </w:style>
  <w:style w:type="character" w:customStyle="1" w:styleId="JuParaChar">
    <w:name w:val="Ju_Para Char"/>
    <w:aliases w:val="_Para Char"/>
    <w:link w:val="JuPara"/>
    <w:uiPriority w:val="8"/>
    <w:rsid w:val="00705E5A"/>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75D212-B0E8-441F-8E97-5E6C9FE346A4}"/>
</file>

<file path=customXml/itemProps2.xml><?xml version="1.0" encoding="utf-8"?>
<ds:datastoreItem xmlns:ds="http://schemas.openxmlformats.org/officeDocument/2006/customXml" ds:itemID="{4E11E02D-AADC-4FFC-89EB-D40FB618C48D}"/>
</file>

<file path=customXml/itemProps3.xml><?xml version="1.0" encoding="utf-8"?>
<ds:datastoreItem xmlns:ds="http://schemas.openxmlformats.org/officeDocument/2006/customXml" ds:itemID="{3564EF04-54BD-468F-A50C-A8A42F98B59F}"/>
</file>

<file path=customXml/itemProps4.xml><?xml version="1.0" encoding="utf-8"?>
<ds:datastoreItem xmlns:ds="http://schemas.openxmlformats.org/officeDocument/2006/customXml" ds:itemID="{3ED9902E-E267-411C-9385-D964B0BE447D}"/>
</file>

<file path=docProps/app.xml><?xml version="1.0" encoding="utf-8"?>
<Properties xmlns="http://schemas.openxmlformats.org/officeDocument/2006/extended-properties" xmlns:vt="http://schemas.openxmlformats.org/officeDocument/2006/docPropsVTypes">
  <Template>Normal.dotm</Template>
  <TotalTime>0</TotalTime>
  <Pages>1</Pages>
  <Words>3041</Words>
  <Characters>17339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2019-10-08T07:50:00Z</dcterms:created>
  <dcterms:modified xsi:type="dcterms:W3CDTF">2019-10-08T07:50:00Z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32074/14</vt:lpwstr>
  </property>
  <property fmtid="{D5CDD505-2E9C-101B-9397-08002B2CF9AE}" pid="4" name="CASEID">
    <vt:lpwstr>1003812</vt:lpwstr>
  </property>
  <property fmtid="{D5CDD505-2E9C-101B-9397-08002B2CF9AE}" pid="5" name="ContentTypeId">
    <vt:lpwstr>0x010100558EB02BDB9E204AB350EDD385B68E10</vt:lpwstr>
  </property>
</Properties>
</file>